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jc w:val="left"/>
        <w:textAlignment w:val="auto"/>
        <w:rPr>
          <w:rFonts w:hint="eastAsia" w:ascii="黑体" w:hAnsi="黑体" w:eastAsia="黑体" w:cs="黑体"/>
          <w:b w:val="0"/>
          <w:bCs w:val="0"/>
          <w:sz w:val="32"/>
          <w:szCs w:val="32"/>
          <w:lang w:val="en-US" w:eastAsia="zh-CN"/>
        </w:rPr>
      </w:pPr>
      <w:bookmarkStart w:id="0" w:name="_Hlk40026180"/>
      <w:r>
        <w:rPr>
          <w:rFonts w:hint="eastAsia" w:ascii="黑体" w:hAnsi="黑体" w:eastAsia="黑体" w:cs="黑体"/>
          <w:b w:val="0"/>
          <w:bCs w:val="0"/>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1" w:name="_GoBack"/>
      <w:r>
        <w:rPr>
          <w:rFonts w:hint="eastAsia" w:ascii="方正小标宋简体" w:hAnsi="方正小标宋简体" w:eastAsia="方正小标宋简体" w:cs="方正小标宋简体"/>
          <w:b w:val="0"/>
          <w:bCs w:val="0"/>
          <w:sz w:val="44"/>
          <w:szCs w:val="44"/>
          <w:lang w:val="en-US" w:eastAsia="zh-CN"/>
        </w:rPr>
        <w:t>惠东县城镇建设用地项目（宝口加油站）</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征地补偿安置</w:t>
      </w:r>
      <w:r>
        <w:rPr>
          <w:rFonts w:hint="eastAsia" w:ascii="方正小标宋简体" w:hAnsi="方正小标宋简体" w:eastAsia="方正小标宋简体" w:cs="方正小标宋简体"/>
          <w:b w:val="0"/>
          <w:bCs w:val="0"/>
          <w:sz w:val="44"/>
          <w:szCs w:val="44"/>
        </w:rPr>
        <w:t>方案</w:t>
      </w:r>
      <w:bookmarkEnd w:id="1"/>
    </w:p>
    <w:bookmarkEnd w:id="0"/>
    <w:p>
      <w:pPr>
        <w:keepNext w:val="0"/>
        <w:keepLines w:val="0"/>
        <w:pageBreakBefore w:val="0"/>
        <w:widowControl w:val="0"/>
        <w:kinsoku/>
        <w:wordWrap/>
        <w:overflowPunct/>
        <w:topLinePunct w:val="0"/>
        <w:autoSpaceDE/>
        <w:autoSpaceDN/>
        <w:bidi w:val="0"/>
        <w:adjustRightInd/>
        <w:snapToGrid/>
        <w:spacing w:line="620" w:lineRule="exact"/>
        <w:ind w:firstLine="880" w:firstLineChars="200"/>
        <w:jc w:val="center"/>
        <w:textAlignment w:val="auto"/>
        <w:rPr>
          <w:rFonts w:ascii="Times New Roman" w:hAnsi="Times New Roman" w:eastAsia="仿宋_GB2312" w:cs="Arial"/>
          <w:bCs/>
          <w:color w:val="000000"/>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为了公共利益的需要，依据《中华人民共和国土地管理法》，经惠东县人民政府研究，拟征收</w:t>
      </w:r>
      <w:r>
        <w:rPr>
          <w:rFonts w:hint="eastAsia" w:ascii="仿宋" w:hAnsi="仿宋" w:eastAsia="仿宋" w:cs="仿宋"/>
          <w:sz w:val="32"/>
          <w:szCs w:val="32"/>
          <w:lang w:val="en-US" w:eastAsia="zh-CN"/>
        </w:rPr>
        <w:t>位于宝口镇塘南村塘角村小组地段的1.572</w:t>
      </w:r>
      <w:r>
        <w:rPr>
          <w:rFonts w:hint="default" w:ascii="仿宋" w:hAnsi="仿宋" w:eastAsia="仿宋" w:cs="仿宋"/>
          <w:sz w:val="32"/>
          <w:szCs w:val="32"/>
          <w:lang w:val="en-US" w:eastAsia="zh-CN"/>
        </w:rPr>
        <w:t>亩</w:t>
      </w:r>
      <w:r>
        <w:rPr>
          <w:rFonts w:hint="eastAsia" w:ascii="仿宋" w:hAnsi="仿宋" w:eastAsia="仿宋" w:cs="仿宋"/>
          <w:sz w:val="32"/>
          <w:szCs w:val="32"/>
          <w:lang w:val="en-US" w:eastAsia="zh-CN"/>
        </w:rPr>
        <w:t>集体土地</w:t>
      </w:r>
      <w:r>
        <w:rPr>
          <w:rFonts w:hint="default" w:ascii="仿宋" w:hAnsi="仿宋" w:eastAsia="仿宋" w:cs="仿宋"/>
          <w:sz w:val="32"/>
          <w:szCs w:val="32"/>
          <w:lang w:val="en-US" w:eastAsia="zh-CN"/>
        </w:rPr>
        <w:t>。根据国家、省、市的相关法律、法规和我市的有关规定，结合土地现状调查结果，特</w:t>
      </w:r>
      <w:r>
        <w:rPr>
          <w:rFonts w:hint="eastAsia" w:ascii="仿宋" w:hAnsi="仿宋" w:eastAsia="仿宋" w:cs="仿宋"/>
          <w:sz w:val="32"/>
          <w:szCs w:val="32"/>
          <w:lang w:val="en-US" w:eastAsia="zh-CN"/>
        </w:rPr>
        <w:t>制定</w:t>
      </w:r>
      <w:r>
        <w:rPr>
          <w:rFonts w:hint="default" w:ascii="仿宋" w:hAnsi="仿宋" w:eastAsia="仿宋" w:cs="仿宋"/>
          <w:sz w:val="32"/>
          <w:szCs w:val="32"/>
          <w:lang w:val="en-US" w:eastAsia="zh-CN"/>
        </w:rPr>
        <w:t>本项目征地补偿安置方案如下：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一、征收土地的位置、范围、权属、面积和现状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拟征收土地</w:t>
      </w:r>
      <w:r>
        <w:rPr>
          <w:rFonts w:hint="eastAsia" w:ascii="仿宋" w:hAnsi="仿宋" w:eastAsia="仿宋" w:cs="仿宋"/>
          <w:sz w:val="32"/>
          <w:szCs w:val="32"/>
          <w:lang w:val="en-US" w:eastAsia="zh-CN"/>
        </w:rPr>
        <w:t>位于宝口镇塘南村塘角村小组地段。属宝口镇塘南村塘角经济合作社</w:t>
      </w:r>
      <w:r>
        <w:rPr>
          <w:rFonts w:hint="default" w:ascii="仿宋" w:hAnsi="仿宋" w:eastAsia="仿宋" w:cs="仿宋"/>
          <w:sz w:val="32"/>
          <w:szCs w:val="32"/>
          <w:lang w:val="en-US" w:eastAsia="zh-CN"/>
        </w:rPr>
        <w:t>所有的集体土地，面积为</w:t>
      </w:r>
      <w:r>
        <w:rPr>
          <w:rFonts w:hint="eastAsia" w:ascii="仿宋" w:hAnsi="仿宋" w:eastAsia="仿宋" w:cs="仿宋"/>
          <w:sz w:val="32"/>
          <w:szCs w:val="32"/>
          <w:lang w:val="en-US" w:eastAsia="zh-CN"/>
        </w:rPr>
        <w:t>1.572</w:t>
      </w:r>
      <w:r>
        <w:rPr>
          <w:rFonts w:hint="default" w:ascii="仿宋" w:hAnsi="仿宋" w:eastAsia="仿宋" w:cs="仿宋"/>
          <w:sz w:val="32"/>
          <w:szCs w:val="32"/>
          <w:lang w:val="en-US" w:eastAsia="zh-CN"/>
        </w:rPr>
        <w:t>亩，其中农用地</w:t>
      </w:r>
      <w:r>
        <w:rPr>
          <w:rFonts w:hint="eastAsia" w:ascii="仿宋" w:hAnsi="仿宋" w:eastAsia="仿宋" w:cs="仿宋"/>
          <w:sz w:val="32"/>
          <w:szCs w:val="32"/>
          <w:lang w:val="en-US" w:eastAsia="zh-CN"/>
        </w:rPr>
        <w:t>1.266</w:t>
      </w:r>
      <w:r>
        <w:rPr>
          <w:rFonts w:hint="default" w:ascii="仿宋" w:hAnsi="仿宋" w:eastAsia="仿宋" w:cs="仿宋"/>
          <w:sz w:val="32"/>
          <w:szCs w:val="32"/>
          <w:lang w:val="en-US" w:eastAsia="zh-CN"/>
        </w:rPr>
        <w:t>亩、建设用地</w:t>
      </w:r>
      <w:r>
        <w:rPr>
          <w:rFonts w:hint="eastAsia" w:ascii="仿宋" w:hAnsi="仿宋" w:eastAsia="仿宋" w:cs="仿宋"/>
          <w:sz w:val="32"/>
          <w:szCs w:val="32"/>
          <w:lang w:val="en-US" w:eastAsia="zh-CN"/>
        </w:rPr>
        <w:t>0.306</w:t>
      </w:r>
      <w:r>
        <w:rPr>
          <w:rFonts w:hint="default" w:ascii="仿宋" w:hAnsi="仿宋" w:eastAsia="仿宋" w:cs="仿宋"/>
          <w:sz w:val="32"/>
          <w:szCs w:val="32"/>
          <w:lang w:val="en-US" w:eastAsia="zh-CN"/>
        </w:rPr>
        <w:t>亩；四至范围详见《拟征收土地四至界线图》。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二、征收目的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本次拟征收土地用于</w:t>
      </w:r>
      <w:r>
        <w:rPr>
          <w:rFonts w:hint="eastAsia" w:ascii="仿宋" w:hAnsi="仿宋" w:eastAsia="仿宋" w:cs="仿宋"/>
          <w:sz w:val="32"/>
          <w:szCs w:val="32"/>
          <w:lang w:val="en-US" w:eastAsia="zh-CN"/>
        </w:rPr>
        <w:t>惠东县城镇建设用地项目（宝口加油站）建设</w:t>
      </w:r>
      <w:r>
        <w:rPr>
          <w:rFonts w:hint="default" w:ascii="仿宋" w:hAnsi="仿宋" w:eastAsia="仿宋" w:cs="仿宋"/>
          <w:sz w:val="32"/>
          <w:szCs w:val="32"/>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jc w:val="both"/>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征收土地补偿标准、安置方式和社会保障</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本次征地实行区片综合地价补偿，具体补偿标准如下：</w:t>
      </w:r>
    </w:p>
    <w:p>
      <w:pPr>
        <w:widowControl w:val="0"/>
        <w:numPr>
          <w:ilvl w:val="0"/>
          <w:numId w:val="0"/>
        </w:numPr>
        <w:ind w:firstLine="480" w:firstLineChars="200"/>
        <w:jc w:val="both"/>
        <w:rPr>
          <w:rFonts w:hint="default" w:ascii="Times New Roman" w:hAnsi="Times New Roman" w:eastAsia="宋体" w:cs="Times New Roman"/>
          <w:kern w:val="2"/>
          <w:sz w:val="24"/>
          <w:szCs w:val="24"/>
          <w:lang w:val="en-US" w:eastAsia="zh-CN" w:bidi="ar-SA"/>
        </w:rPr>
      </w:pPr>
    </w:p>
    <w:p>
      <w:pPr>
        <w:widowControl w:val="0"/>
        <w:numPr>
          <w:ilvl w:val="0"/>
          <w:numId w:val="0"/>
        </w:numPr>
        <w:ind w:firstLine="480" w:firstLineChars="200"/>
        <w:jc w:val="both"/>
        <w:rPr>
          <w:rFonts w:hint="default" w:ascii="Times New Roman" w:hAnsi="Times New Roman" w:eastAsia="宋体" w:cs="Times New Roman"/>
          <w:kern w:val="2"/>
          <w:sz w:val="24"/>
          <w:szCs w:val="24"/>
          <w:lang w:val="en-US" w:eastAsia="zh-CN" w:bidi="ar-SA"/>
        </w:rPr>
      </w:pPr>
    </w:p>
    <w:p>
      <w:pPr>
        <w:widowControl w:val="0"/>
        <w:numPr>
          <w:ilvl w:val="0"/>
          <w:numId w:val="0"/>
        </w:numPr>
        <w:ind w:firstLine="480" w:firstLineChars="200"/>
        <w:jc w:val="both"/>
        <w:rPr>
          <w:rFonts w:hint="default" w:ascii="Times New Roman" w:hAnsi="Times New Roman" w:eastAsia="宋体" w:cs="Times New Roman"/>
          <w:kern w:val="2"/>
          <w:sz w:val="24"/>
          <w:szCs w:val="24"/>
          <w:lang w:val="en-US" w:eastAsia="zh-CN" w:bidi="ar-SA"/>
        </w:rPr>
      </w:pPr>
    </w:p>
    <w:tbl>
      <w:tblPr>
        <w:tblStyle w:val="4"/>
        <w:tblpPr w:leftFromText="180" w:rightFromText="180" w:vertAnchor="text" w:horzAnchor="page" w:tblpX="1299" w:tblpY="182"/>
        <w:tblOverlap w:val="never"/>
        <w:tblW w:w="92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49"/>
        <w:gridCol w:w="1558"/>
        <w:gridCol w:w="1336"/>
        <w:gridCol w:w="1538"/>
        <w:gridCol w:w="1515"/>
        <w:gridCol w:w="13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3" w:hRule="atLeast"/>
          <w:tblHeader/>
        </w:trPr>
        <w:tc>
          <w:tcPr>
            <w:tcW w:w="2049"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被征地的集体</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经济组织</w:t>
            </w:r>
          </w:p>
        </w:tc>
        <w:tc>
          <w:tcPr>
            <w:tcW w:w="1558"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336"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土地</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面积（亩）</w:t>
            </w:r>
          </w:p>
        </w:tc>
        <w:tc>
          <w:tcPr>
            <w:tcW w:w="3053"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56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color w:val="000000"/>
                <w:sz w:val="30"/>
                <w:szCs w:val="30"/>
              </w:rPr>
              <w:t>征地区片综合地价</w:t>
            </w:r>
          </w:p>
        </w:tc>
        <w:tc>
          <w:tcPr>
            <w:tcW w:w="1302"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560" w:lineRule="exact"/>
              <w:jc w:val="center"/>
              <w:textAlignment w:val="auto"/>
              <w:outlineLvl w:val="9"/>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征地</w:t>
            </w:r>
          </w:p>
          <w:p>
            <w:pPr>
              <w:keepNext w:val="0"/>
              <w:keepLines w:val="0"/>
              <w:pageBreakBefore w:val="0"/>
              <w:widowControl/>
              <w:kinsoku/>
              <w:wordWrap/>
              <w:overflowPunct/>
              <w:topLinePunct w:val="0"/>
              <w:autoSpaceDE/>
              <w:autoSpaceDN/>
              <w:bidi w:val="0"/>
              <w:adjustRightInd/>
              <w:snapToGrid w:val="0"/>
              <w:spacing w:line="560" w:lineRule="exact"/>
              <w:jc w:val="center"/>
              <w:textAlignment w:val="auto"/>
              <w:outlineLvl w:val="9"/>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补偿费</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sz w:val="30"/>
                <w:szCs w:val="30"/>
                <w:lang w:eastAsia="zh-CN"/>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0" w:hRule="atLeast"/>
          <w:tblHeader/>
        </w:trPr>
        <w:tc>
          <w:tcPr>
            <w:tcW w:w="204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bCs/>
                <w:color w:val="000000"/>
                <w:sz w:val="30"/>
                <w:szCs w:val="30"/>
              </w:rPr>
            </w:pPr>
          </w:p>
        </w:tc>
        <w:tc>
          <w:tcPr>
            <w:tcW w:w="155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bCs/>
                <w:color w:val="000000"/>
                <w:sz w:val="30"/>
                <w:szCs w:val="30"/>
              </w:rPr>
            </w:pPr>
          </w:p>
        </w:tc>
        <w:tc>
          <w:tcPr>
            <w:tcW w:w="1336"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bCs/>
                <w:color w:val="000000"/>
                <w:sz w:val="30"/>
                <w:szCs w:val="30"/>
              </w:rPr>
            </w:pPr>
          </w:p>
        </w:tc>
        <w:tc>
          <w:tcPr>
            <w:tcW w:w="15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560" w:lineRule="exact"/>
              <w:jc w:val="both"/>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color w:val="000000"/>
                <w:sz w:val="30"/>
                <w:szCs w:val="30"/>
              </w:rPr>
              <w:t>土地补偿费</w:t>
            </w:r>
            <w:r>
              <w:rPr>
                <w:rFonts w:hint="eastAsia" w:ascii="仿宋" w:hAnsi="仿宋" w:eastAsia="仿宋" w:cs="仿宋"/>
                <w:b/>
                <w:bCs/>
                <w:color w:val="000000"/>
                <w:sz w:val="30"/>
                <w:szCs w:val="30"/>
                <w:lang w:val="en-US" w:eastAsia="zh-CN"/>
              </w:rPr>
              <w:t>(</w:t>
            </w:r>
            <w:r>
              <w:rPr>
                <w:rFonts w:hint="eastAsia" w:ascii="仿宋" w:hAnsi="仿宋" w:eastAsia="仿宋" w:cs="仿宋"/>
                <w:b/>
                <w:bCs/>
                <w:color w:val="000000"/>
                <w:sz w:val="30"/>
                <w:szCs w:val="30"/>
              </w:rPr>
              <w:t>万元</w:t>
            </w:r>
            <w:r>
              <w:rPr>
                <w:rFonts w:hint="eastAsia" w:ascii="仿宋" w:hAnsi="仿宋" w:eastAsia="仿宋" w:cs="仿宋"/>
                <w:b/>
                <w:bCs/>
                <w:color w:val="000000"/>
                <w:sz w:val="30"/>
                <w:szCs w:val="30"/>
                <w:lang w:val="en-US" w:eastAsia="zh-CN"/>
              </w:rPr>
              <w:t>/亩</w:t>
            </w:r>
            <w:r>
              <w:rPr>
                <w:rFonts w:hint="eastAsia" w:ascii="仿宋" w:hAnsi="仿宋" w:eastAsia="仿宋" w:cs="仿宋"/>
                <w:b/>
                <w:bCs/>
                <w:color w:val="000000"/>
                <w:sz w:val="30"/>
                <w:szCs w:val="30"/>
              </w:rPr>
              <w:t>）</w:t>
            </w:r>
          </w:p>
        </w:tc>
        <w:tc>
          <w:tcPr>
            <w:tcW w:w="15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val="0"/>
              <w:spacing w:line="560" w:lineRule="exact"/>
              <w:jc w:val="center"/>
              <w:textAlignment w:val="auto"/>
              <w:outlineLvl w:val="9"/>
              <w:rPr>
                <w:rFonts w:ascii="Calibri" w:hAnsi="Calibri" w:eastAsia="宋体" w:cs="Times New Roman"/>
                <w:b/>
                <w:bCs/>
                <w:color w:val="000000"/>
                <w:sz w:val="30"/>
                <w:szCs w:val="30"/>
              </w:rPr>
            </w:pPr>
            <w:r>
              <w:rPr>
                <w:rFonts w:hint="eastAsia" w:ascii="仿宋" w:hAnsi="仿宋" w:eastAsia="仿宋" w:cs="仿宋"/>
                <w:b/>
                <w:bCs/>
                <w:color w:val="000000"/>
                <w:sz w:val="30"/>
                <w:szCs w:val="30"/>
              </w:rPr>
              <w:t>安置补助费</w:t>
            </w:r>
            <w:r>
              <w:rPr>
                <w:rFonts w:hint="eastAsia" w:ascii="仿宋" w:hAnsi="仿宋" w:eastAsia="仿宋" w:cs="仿宋"/>
                <w:b/>
                <w:bCs/>
                <w:color w:val="000000"/>
                <w:sz w:val="30"/>
                <w:szCs w:val="30"/>
                <w:lang w:val="en-US" w:eastAsia="zh-CN"/>
              </w:rPr>
              <w:t>(</w:t>
            </w:r>
            <w:r>
              <w:rPr>
                <w:rFonts w:hint="eastAsia" w:ascii="仿宋" w:hAnsi="仿宋" w:eastAsia="仿宋" w:cs="仿宋"/>
                <w:b/>
                <w:bCs/>
                <w:color w:val="000000"/>
                <w:sz w:val="30"/>
                <w:szCs w:val="30"/>
              </w:rPr>
              <w:t>万元</w:t>
            </w:r>
            <w:r>
              <w:rPr>
                <w:rFonts w:hint="eastAsia" w:ascii="仿宋" w:hAnsi="仿宋" w:eastAsia="仿宋" w:cs="仿宋"/>
                <w:b/>
                <w:bCs/>
                <w:color w:val="000000"/>
                <w:sz w:val="30"/>
                <w:szCs w:val="30"/>
                <w:lang w:val="en-US" w:eastAsia="zh-CN"/>
              </w:rPr>
              <w:t>/亩</w:t>
            </w:r>
            <w:r>
              <w:rPr>
                <w:rFonts w:hint="eastAsia" w:ascii="仿宋" w:hAnsi="仿宋" w:eastAsia="仿宋" w:cs="仿宋"/>
                <w:b/>
                <w:bCs/>
                <w:color w:val="000000"/>
                <w:sz w:val="30"/>
                <w:szCs w:val="30"/>
              </w:rPr>
              <w:t>）</w:t>
            </w:r>
          </w:p>
        </w:tc>
        <w:tc>
          <w:tcPr>
            <w:tcW w:w="1302"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bCs/>
                <w:color w:val="00000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2" w:hRule="atLeast"/>
        </w:trPr>
        <w:tc>
          <w:tcPr>
            <w:tcW w:w="2049"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仿宋" w:hAnsi="仿宋" w:eastAsia="仿宋" w:cs="仿宋"/>
                <w:b w:val="0"/>
                <w:bCs w:val="0"/>
                <w:color w:val="000000"/>
                <w:kern w:val="0"/>
                <w:sz w:val="28"/>
                <w:szCs w:val="28"/>
                <w:lang w:bidi="ar"/>
              </w:rPr>
            </w:pPr>
            <w:r>
              <w:rPr>
                <w:rFonts w:hint="eastAsia" w:ascii="仿宋" w:hAnsi="仿宋" w:eastAsia="仿宋" w:cs="仿宋"/>
                <w:b w:val="0"/>
                <w:bCs w:val="0"/>
                <w:color w:val="000000"/>
                <w:sz w:val="32"/>
                <w:szCs w:val="32"/>
                <w:lang w:val="en-US" w:eastAsia="zh-CN"/>
              </w:rPr>
              <w:t>宝口镇塘南村塘角</w:t>
            </w:r>
            <w:r>
              <w:rPr>
                <w:rFonts w:hint="eastAsia" w:ascii="仿宋" w:hAnsi="仿宋" w:eastAsia="仿宋" w:cs="仿宋"/>
                <w:b w:val="0"/>
                <w:bCs w:val="0"/>
                <w:color w:val="000000"/>
                <w:sz w:val="32"/>
                <w:szCs w:val="32"/>
                <w:lang w:eastAsia="zh-CN"/>
              </w:rPr>
              <w:t>经济合作社</w:t>
            </w:r>
          </w:p>
        </w:tc>
        <w:tc>
          <w:tcPr>
            <w:tcW w:w="1558" w:type="dxa"/>
            <w:tcBorders>
              <w:tl2br w:val="nil"/>
              <w:tr2bl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jc w:val="center"/>
              <w:rPr>
                <w:rFonts w:hint="eastAsia" w:ascii="仿宋" w:hAnsi="仿宋" w:eastAsia="仿宋" w:cs="仿宋"/>
                <w:b w:val="0"/>
                <w:bCs w:val="0"/>
                <w:color w:val="000000"/>
                <w:sz w:val="28"/>
                <w:szCs w:val="28"/>
                <w:lang w:eastAsia="zh-CN"/>
              </w:rPr>
            </w:pPr>
            <w:r>
              <w:rPr>
                <w:rFonts w:hint="default" w:ascii="仿宋" w:hAnsi="仿宋" w:eastAsia="仿宋" w:cs="仿宋"/>
                <w:b w:val="0"/>
                <w:bCs w:val="0"/>
                <w:color w:val="000000"/>
                <w:sz w:val="32"/>
                <w:szCs w:val="32"/>
                <w:vertAlign w:val="baseline"/>
                <w:lang w:val="en-US" w:eastAsia="zh-CN"/>
              </w:rPr>
              <w:t>农用地</w:t>
            </w:r>
          </w:p>
        </w:tc>
        <w:tc>
          <w:tcPr>
            <w:tcW w:w="133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 w:hAnsi="仿宋" w:eastAsia="仿宋" w:cs="仿宋"/>
                <w:b w:val="0"/>
                <w:bCs w:val="0"/>
                <w:color w:val="000000"/>
                <w:sz w:val="30"/>
                <w:szCs w:val="30"/>
                <w:highlight w:val="none"/>
                <w:u w:val="none"/>
                <w:lang w:val="en-US" w:eastAsia="zh-CN"/>
              </w:rPr>
            </w:pPr>
            <w:r>
              <w:rPr>
                <w:rFonts w:hint="eastAsia" w:ascii="仿宋" w:hAnsi="仿宋" w:eastAsia="仿宋" w:cs="仿宋"/>
                <w:b w:val="0"/>
                <w:bCs w:val="0"/>
                <w:i w:val="0"/>
                <w:iCs w:val="0"/>
                <w:color w:val="000000"/>
                <w:kern w:val="0"/>
                <w:sz w:val="32"/>
                <w:szCs w:val="32"/>
                <w:u w:val="none"/>
                <w:lang w:val="en-US" w:eastAsia="zh-CN" w:bidi="ar"/>
              </w:rPr>
              <w:t>1.266</w:t>
            </w:r>
          </w:p>
        </w:tc>
        <w:tc>
          <w:tcPr>
            <w:tcW w:w="15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outlineLvl w:val="9"/>
              <w:rPr>
                <w:rFonts w:hint="default" w:ascii="仿宋" w:hAnsi="仿宋" w:eastAsia="仿宋" w:cs="仿宋"/>
                <w:b w:val="0"/>
                <w:bCs w:val="0"/>
                <w:color w:val="000000"/>
                <w:sz w:val="30"/>
                <w:szCs w:val="30"/>
                <w:highlight w:val="none"/>
                <w:u w:val="none"/>
                <w:lang w:val="en-US" w:eastAsia="zh-CN"/>
              </w:rPr>
            </w:pPr>
            <w:r>
              <w:rPr>
                <w:rFonts w:hint="eastAsia" w:ascii="仿宋" w:hAnsi="仿宋" w:eastAsia="仿宋" w:cs="仿宋"/>
                <w:b w:val="0"/>
                <w:bCs w:val="0"/>
                <w:color w:val="000000"/>
                <w:sz w:val="30"/>
                <w:szCs w:val="30"/>
                <w:highlight w:val="none"/>
                <w:u w:val="none"/>
                <w:lang w:val="en-US" w:eastAsia="zh-CN"/>
              </w:rPr>
              <w:t>2.21</w:t>
            </w:r>
          </w:p>
        </w:tc>
        <w:tc>
          <w:tcPr>
            <w:tcW w:w="15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outlineLvl w:val="9"/>
              <w:rPr>
                <w:rFonts w:hint="default" w:ascii="仿宋" w:hAnsi="仿宋" w:eastAsia="仿宋" w:cs="仿宋"/>
                <w:b w:val="0"/>
                <w:bCs w:val="0"/>
                <w:color w:val="000000"/>
                <w:sz w:val="30"/>
                <w:szCs w:val="30"/>
                <w:highlight w:val="none"/>
                <w:u w:val="none"/>
                <w:lang w:val="en-US" w:eastAsia="zh-CN"/>
              </w:rPr>
            </w:pPr>
            <w:r>
              <w:rPr>
                <w:rFonts w:hint="eastAsia" w:ascii="仿宋" w:hAnsi="仿宋" w:eastAsia="仿宋" w:cs="仿宋"/>
                <w:b w:val="0"/>
                <w:bCs w:val="0"/>
                <w:color w:val="000000"/>
                <w:sz w:val="30"/>
                <w:szCs w:val="30"/>
                <w:highlight w:val="none"/>
                <w:u w:val="none"/>
                <w:lang w:val="en-US" w:eastAsia="zh-CN"/>
              </w:rPr>
              <w:t>3.32</w:t>
            </w:r>
          </w:p>
        </w:tc>
        <w:tc>
          <w:tcPr>
            <w:tcW w:w="130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仿宋" w:hAnsi="仿宋" w:eastAsia="仿宋" w:cs="仿宋"/>
                <w:b w:val="0"/>
                <w:bCs w:val="0"/>
                <w:color w:val="000000"/>
                <w:kern w:val="0"/>
                <w:sz w:val="30"/>
                <w:szCs w:val="30"/>
                <w:lang w:val="en-US" w:eastAsia="zh-CN" w:bidi="ar"/>
              </w:rPr>
            </w:pPr>
            <w:r>
              <w:rPr>
                <w:rFonts w:hint="eastAsia" w:ascii="仿宋" w:hAnsi="仿宋" w:eastAsia="仿宋" w:cs="仿宋"/>
                <w:b w:val="0"/>
                <w:bCs w:val="0"/>
                <w:color w:val="000000"/>
                <w:sz w:val="32"/>
                <w:szCs w:val="32"/>
                <w:vertAlign w:val="baseline"/>
                <w:lang w:val="en-US" w:eastAsia="zh-CN"/>
              </w:rPr>
              <w:t>7.001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2" w:hRule="atLeast"/>
        </w:trPr>
        <w:tc>
          <w:tcPr>
            <w:tcW w:w="204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center"/>
              <w:textAlignment w:val="center"/>
              <w:rPr>
                <w:rFonts w:hint="eastAsia" w:ascii="Calibri" w:hAnsi="Calibri" w:eastAsia="仿宋" w:cs="仿宋"/>
                <w:b w:val="0"/>
                <w:bCs w:val="0"/>
                <w:color w:val="000000"/>
                <w:sz w:val="32"/>
                <w:szCs w:val="32"/>
                <w:lang w:eastAsia="zh-CN"/>
              </w:rPr>
            </w:pPr>
          </w:p>
        </w:tc>
        <w:tc>
          <w:tcPr>
            <w:tcW w:w="1558" w:type="dxa"/>
            <w:tcBorders>
              <w:tl2br w:val="nil"/>
              <w:tr2bl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jc w:val="center"/>
              <w:rPr>
                <w:rFonts w:hint="eastAsia" w:ascii="仿宋" w:hAnsi="仿宋" w:eastAsia="仿宋" w:cs="仿宋"/>
                <w:b w:val="0"/>
                <w:bCs w:val="0"/>
                <w:color w:val="000000"/>
                <w:sz w:val="28"/>
                <w:szCs w:val="28"/>
                <w:lang w:val="en-US" w:eastAsia="zh-CN"/>
              </w:rPr>
            </w:pPr>
            <w:r>
              <w:rPr>
                <w:rFonts w:hint="default" w:ascii="仿宋" w:hAnsi="仿宋" w:eastAsia="仿宋" w:cs="仿宋"/>
                <w:b w:val="0"/>
                <w:bCs w:val="0"/>
                <w:color w:val="000000"/>
                <w:sz w:val="32"/>
                <w:szCs w:val="32"/>
                <w:vertAlign w:val="baseline"/>
                <w:lang w:val="en-US" w:eastAsia="zh-CN"/>
              </w:rPr>
              <w:t>建设用地</w:t>
            </w:r>
          </w:p>
        </w:tc>
        <w:tc>
          <w:tcPr>
            <w:tcW w:w="1336" w:type="dxa"/>
            <w:tcBorders>
              <w:tl2br w:val="nil"/>
              <w:tr2bl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jc w:val="center"/>
              <w:rPr>
                <w:rFonts w:hint="default" w:ascii="仿宋" w:hAnsi="仿宋" w:eastAsia="仿宋" w:cs="仿宋"/>
                <w:b w:val="0"/>
                <w:bCs w:val="0"/>
                <w:color w:val="000000"/>
                <w:sz w:val="30"/>
                <w:szCs w:val="30"/>
                <w:highlight w:val="none"/>
                <w:u w:val="none"/>
                <w:lang w:val="en-US" w:eastAsia="zh-CN"/>
              </w:rPr>
            </w:pPr>
            <w:r>
              <w:rPr>
                <w:rFonts w:hint="eastAsia" w:ascii="仿宋" w:hAnsi="仿宋" w:eastAsia="仿宋" w:cs="仿宋"/>
                <w:b w:val="0"/>
                <w:bCs w:val="0"/>
                <w:color w:val="000000"/>
                <w:sz w:val="32"/>
                <w:szCs w:val="32"/>
                <w:vertAlign w:val="baseline"/>
                <w:lang w:val="en-US" w:eastAsia="zh-CN"/>
              </w:rPr>
              <w:t>0.306</w:t>
            </w:r>
          </w:p>
        </w:tc>
        <w:tc>
          <w:tcPr>
            <w:tcW w:w="153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outlineLvl w:val="9"/>
              <w:rPr>
                <w:rFonts w:hint="default" w:ascii="仿宋" w:hAnsi="仿宋" w:eastAsia="仿宋" w:cs="仿宋"/>
                <w:b w:val="0"/>
                <w:bCs w:val="0"/>
                <w:color w:val="000000"/>
                <w:sz w:val="30"/>
                <w:szCs w:val="30"/>
                <w:highlight w:val="none"/>
                <w:u w:val="none"/>
                <w:lang w:val="en-US" w:eastAsia="zh-CN"/>
              </w:rPr>
            </w:pPr>
            <w:r>
              <w:rPr>
                <w:rFonts w:hint="eastAsia" w:ascii="仿宋" w:hAnsi="仿宋" w:eastAsia="仿宋" w:cs="仿宋"/>
                <w:b w:val="0"/>
                <w:bCs w:val="0"/>
                <w:color w:val="000000"/>
                <w:sz w:val="30"/>
                <w:szCs w:val="30"/>
                <w:highlight w:val="none"/>
                <w:u w:val="none"/>
                <w:lang w:val="en-US" w:eastAsia="zh-CN"/>
              </w:rPr>
              <w:t>2.21</w:t>
            </w:r>
          </w:p>
        </w:tc>
        <w:tc>
          <w:tcPr>
            <w:tcW w:w="151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560" w:lineRule="exact"/>
              <w:jc w:val="center"/>
              <w:textAlignment w:val="auto"/>
              <w:outlineLvl w:val="9"/>
              <w:rPr>
                <w:rFonts w:hint="default" w:ascii="仿宋" w:hAnsi="仿宋" w:eastAsia="仿宋" w:cs="仿宋"/>
                <w:b w:val="0"/>
                <w:bCs w:val="0"/>
                <w:color w:val="000000"/>
                <w:sz w:val="30"/>
                <w:szCs w:val="30"/>
                <w:highlight w:val="none"/>
                <w:u w:val="none"/>
                <w:lang w:val="en-US" w:eastAsia="zh-CN"/>
              </w:rPr>
            </w:pPr>
            <w:r>
              <w:rPr>
                <w:rFonts w:hint="eastAsia" w:ascii="仿宋" w:hAnsi="仿宋" w:eastAsia="仿宋" w:cs="仿宋"/>
                <w:b w:val="0"/>
                <w:bCs w:val="0"/>
                <w:color w:val="000000"/>
                <w:sz w:val="30"/>
                <w:szCs w:val="30"/>
                <w:highlight w:val="none"/>
                <w:u w:val="none"/>
                <w:lang w:val="en-US" w:eastAsia="zh-CN"/>
              </w:rPr>
              <w:t>3.32</w:t>
            </w:r>
          </w:p>
        </w:tc>
        <w:tc>
          <w:tcPr>
            <w:tcW w:w="1302" w:type="dxa"/>
            <w:tcBorders>
              <w:tl2br w:val="nil"/>
              <w:tr2bl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0" w:firstLineChars="0"/>
              <w:jc w:val="center"/>
              <w:rPr>
                <w:rFonts w:hint="default" w:ascii="仿宋" w:hAnsi="仿宋" w:eastAsia="仿宋" w:cs="仿宋"/>
                <w:b w:val="0"/>
                <w:bCs w:val="0"/>
                <w:color w:val="000000"/>
                <w:kern w:val="0"/>
                <w:sz w:val="30"/>
                <w:szCs w:val="30"/>
                <w:lang w:val="en-US" w:eastAsia="zh-CN" w:bidi="ar"/>
              </w:rPr>
            </w:pPr>
            <w:r>
              <w:rPr>
                <w:rFonts w:hint="eastAsia" w:ascii="仿宋" w:hAnsi="仿宋" w:eastAsia="仿宋" w:cs="仿宋"/>
                <w:b w:val="0"/>
                <w:bCs w:val="0"/>
                <w:color w:val="000000"/>
                <w:sz w:val="32"/>
                <w:szCs w:val="32"/>
                <w:vertAlign w:val="baseline"/>
                <w:lang w:val="en-US" w:eastAsia="zh-CN"/>
              </w:rPr>
              <w:t>1.6922</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0" w:leftChars="0" w:firstLine="640" w:firstLineChars="0"/>
        <w:jc w:val="both"/>
        <w:textAlignment w:val="auto"/>
        <w:rPr>
          <w:rFonts w:hint="default"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（二）</w:t>
      </w:r>
      <w:r>
        <w:rPr>
          <w:rFonts w:hint="default" w:ascii="仿宋" w:hAnsi="仿宋" w:eastAsia="仿宋" w:cs="仿宋"/>
          <w:b w:val="0"/>
          <w:bCs w:val="0"/>
          <w:sz w:val="32"/>
          <w:szCs w:val="32"/>
          <w:lang w:val="en-US" w:eastAsia="zh-CN"/>
        </w:rPr>
        <w:t>住宅、其他地上附着物和青苗补偿费按惠州市人</w:t>
      </w:r>
      <w:r>
        <w:rPr>
          <w:rFonts w:hint="default" w:ascii="仿宋" w:hAnsi="仿宋" w:eastAsia="仿宋" w:cs="仿宋"/>
          <w:sz w:val="32"/>
          <w:szCs w:val="32"/>
          <w:lang w:val="en-US" w:eastAsia="zh-CN"/>
        </w:rPr>
        <w:t>民政府关于印发《惠州市集体土地征收与补偿办法》的通知（惠府</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2021</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27号）规定的标准进行核算。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0" w:leftChars="0" w:firstLine="640" w:firstLineChars="0"/>
        <w:jc w:val="both"/>
        <w:textAlignment w:val="auto"/>
        <w:rPr>
          <w:rFonts w:hint="default"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（三）</w:t>
      </w:r>
      <w:r>
        <w:rPr>
          <w:rFonts w:hint="default" w:ascii="仿宋" w:hAnsi="仿宋" w:eastAsia="仿宋" w:cs="仿宋"/>
          <w:sz w:val="32"/>
          <w:szCs w:val="32"/>
          <w:lang w:val="en-US" w:eastAsia="zh-CN"/>
        </w:rPr>
        <w:t>被征地农民按广东省人力资源和社会保障厅有关规定纳入相应的养老等社会保障体系</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0" w:leftChars="0" w:firstLine="640" w:firstLineChars="0"/>
        <w:jc w:val="both"/>
        <w:textAlignment w:val="auto"/>
        <w:rPr>
          <w:rFonts w:hint="default"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（四）</w:t>
      </w:r>
      <w:r>
        <w:rPr>
          <w:rFonts w:hint="default" w:ascii="仿宋" w:hAnsi="仿宋" w:eastAsia="仿宋" w:cs="仿宋"/>
          <w:sz w:val="32"/>
          <w:szCs w:val="32"/>
          <w:lang w:val="en-US" w:eastAsia="zh-CN"/>
        </w:rPr>
        <w:t>留用地安置按国家、省的有关规定执行。</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征地补偿安置费用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征地补偿总费用</w:t>
      </w:r>
      <w:r>
        <w:rPr>
          <w:rFonts w:hint="eastAsia" w:ascii="仿宋" w:hAnsi="仿宋" w:eastAsia="仿宋" w:cs="仿宋"/>
          <w:sz w:val="32"/>
          <w:szCs w:val="32"/>
          <w:lang w:val="en-US" w:eastAsia="zh-CN"/>
        </w:rPr>
        <w:t>11.7469</w:t>
      </w:r>
      <w:r>
        <w:rPr>
          <w:rFonts w:hint="default" w:ascii="仿宋" w:hAnsi="仿宋" w:eastAsia="仿宋" w:cs="仿宋"/>
          <w:sz w:val="32"/>
          <w:szCs w:val="32"/>
          <w:lang w:val="en-US" w:eastAsia="zh-CN"/>
        </w:rPr>
        <w:t>万元，其中：征地补偿费用</w:t>
      </w:r>
      <w:r>
        <w:rPr>
          <w:rFonts w:hint="eastAsia" w:ascii="仿宋" w:hAnsi="仿宋" w:eastAsia="仿宋" w:cs="仿宋"/>
          <w:sz w:val="32"/>
          <w:szCs w:val="32"/>
          <w:lang w:val="en-US" w:eastAsia="zh-CN"/>
        </w:rPr>
        <w:t>8.6932</w:t>
      </w:r>
      <w:r>
        <w:rPr>
          <w:rFonts w:hint="default" w:ascii="仿宋" w:hAnsi="仿宋" w:eastAsia="仿宋" w:cs="仿宋"/>
          <w:sz w:val="32"/>
          <w:szCs w:val="32"/>
          <w:lang w:val="en-US" w:eastAsia="zh-CN"/>
        </w:rPr>
        <w:t>万元（含土地补偿费和安置补助费）、青苗</w:t>
      </w:r>
      <w:r>
        <w:rPr>
          <w:rFonts w:hint="eastAsia" w:ascii="仿宋" w:hAnsi="仿宋" w:eastAsia="仿宋" w:cs="仿宋"/>
          <w:sz w:val="32"/>
          <w:szCs w:val="32"/>
          <w:lang w:val="en-US" w:eastAsia="zh-CN"/>
        </w:rPr>
        <w:t>及地上</w:t>
      </w:r>
      <w:r>
        <w:rPr>
          <w:rFonts w:hint="default" w:ascii="仿宋" w:hAnsi="仿宋" w:eastAsia="仿宋" w:cs="仿宋"/>
          <w:sz w:val="32"/>
          <w:szCs w:val="32"/>
          <w:lang w:val="en-US" w:eastAsia="zh-CN"/>
        </w:rPr>
        <w:t>附着物补偿费用</w:t>
      </w:r>
      <w:r>
        <w:rPr>
          <w:rFonts w:hint="eastAsia" w:ascii="仿宋" w:hAnsi="仿宋" w:eastAsia="仿宋" w:cs="仿宋"/>
          <w:sz w:val="32"/>
          <w:szCs w:val="32"/>
          <w:lang w:val="en-US" w:eastAsia="zh-CN"/>
        </w:rPr>
        <w:t>0.483</w:t>
      </w:r>
      <w:r>
        <w:rPr>
          <w:rFonts w:hint="default" w:ascii="仿宋" w:hAnsi="仿宋" w:eastAsia="仿宋" w:cs="仿宋"/>
          <w:sz w:val="32"/>
          <w:szCs w:val="32"/>
          <w:lang w:val="en-US" w:eastAsia="zh-CN"/>
        </w:rPr>
        <w:t>万元、社保费用</w:t>
      </w:r>
      <w:r>
        <w:rPr>
          <w:rFonts w:hint="eastAsia" w:ascii="仿宋" w:hAnsi="仿宋" w:eastAsia="仿宋" w:cs="仿宋"/>
          <w:sz w:val="32"/>
          <w:szCs w:val="32"/>
          <w:lang w:val="en-US" w:eastAsia="zh-CN"/>
        </w:rPr>
        <w:t>2.5707</w:t>
      </w:r>
      <w:r>
        <w:rPr>
          <w:rFonts w:hint="default" w:ascii="仿宋" w:hAnsi="仿宋" w:eastAsia="仿宋" w:cs="仿宋"/>
          <w:sz w:val="32"/>
          <w:szCs w:val="32"/>
          <w:lang w:val="en-US" w:eastAsia="zh-CN"/>
        </w:rPr>
        <w:t>万元</w:t>
      </w:r>
      <w:r>
        <w:rPr>
          <w:rFonts w:hint="eastAsia" w:ascii="仿宋" w:hAnsi="仿宋" w:eastAsia="仿宋" w:cs="仿宋"/>
          <w:sz w:val="32"/>
          <w:szCs w:val="32"/>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征地补偿费用支付对象、支付方式和时间</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补偿安置费用支付给被征地的农村集体经济组织。青苗补偿费、附着物补偿费支付给所有权人</w:t>
      </w:r>
      <w:r>
        <w:rPr>
          <w:rFonts w:hint="eastAsia" w:ascii="仿宋" w:hAnsi="仿宋" w:eastAsia="仿宋" w:cs="仿宋"/>
          <w:sz w:val="32"/>
          <w:szCs w:val="32"/>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支付方式为转账、现金。社保费用缴入财政社保专户。</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补偿款兑付时间为土地征收公告期满之</w:t>
      </w:r>
      <w:r>
        <w:rPr>
          <w:rFonts w:hint="eastAsia" w:ascii="仿宋" w:hAnsi="仿宋" w:eastAsia="仿宋" w:cs="仿宋"/>
          <w:sz w:val="32"/>
          <w:szCs w:val="32"/>
          <w:lang w:val="en-US" w:eastAsia="zh-CN"/>
        </w:rPr>
        <w:t>日</w:t>
      </w:r>
      <w:r>
        <w:rPr>
          <w:rFonts w:hint="default" w:ascii="仿宋" w:hAnsi="仿宋" w:eastAsia="仿宋" w:cs="仿宋"/>
          <w:sz w:val="32"/>
          <w:szCs w:val="32"/>
          <w:lang w:val="en-US" w:eastAsia="zh-CN"/>
        </w:rPr>
        <w:t>起三个月内</w:t>
      </w:r>
      <w:r>
        <w:rPr>
          <w:rFonts w:hint="eastAsia" w:ascii="仿宋" w:hAnsi="仿宋" w:eastAsia="仿宋" w:cs="仿宋"/>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eastAsia="宋体" w:cs="Times New Roman"/>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宋体" w:cs="Times New Roman"/>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baseline"/>
        <w:outlineLvl w:val="9"/>
        <w:rPr>
          <w:rFonts w:hint="eastAsia" w:ascii="仿宋" w:hAnsi="仿宋" w:eastAsia="仿宋" w:cs="仿宋"/>
          <w:spacing w:val="0"/>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pacing w:val="6"/>
          <w:kern w:val="0"/>
          <w:sz w:val="32"/>
          <w:szCs w:val="32"/>
        </w:rPr>
        <w:t>惠东县人民政府</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w:t>
      </w:r>
      <w:r>
        <w:rPr>
          <w:rFonts w:hint="eastAsia" w:ascii="仿宋" w:hAnsi="仿宋" w:eastAsia="仿宋" w:cs="仿宋"/>
          <w:sz w:val="32"/>
          <w:szCs w:val="32"/>
          <w:lang w:val="en-US" w:eastAsia="zh-CN"/>
        </w:rPr>
        <w:t>24</w:t>
      </w:r>
      <w:r>
        <w:rPr>
          <w:rFonts w:hint="eastAsia" w:ascii="仿宋" w:hAnsi="仿宋" w:eastAsia="仿宋" w:cs="仿宋"/>
          <w:sz w:val="32"/>
          <w:szCs w:val="32"/>
        </w:rPr>
        <w:t>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7</w:t>
      </w:r>
      <w:r>
        <w:rPr>
          <w:rFonts w:hint="eastAsia" w:ascii="仿宋" w:hAnsi="仿宋" w:eastAsia="仿宋" w:cs="仿宋"/>
          <w:sz w:val="32"/>
          <w:szCs w:val="32"/>
        </w:rPr>
        <w:t>日</w:t>
      </w:r>
    </w:p>
    <w:p>
      <w:pPr>
        <w:widowControl w:val="0"/>
        <w:ind w:firstLine="480" w:firstLineChars="200"/>
        <w:jc w:val="both"/>
        <w:rPr>
          <w:rFonts w:hint="default" w:ascii="Times New Roman" w:hAnsi="Times New Roman" w:eastAsia="宋体" w:cs="Times New Roman"/>
          <w:kern w:val="2"/>
          <w:sz w:val="24"/>
          <w:szCs w:val="24"/>
          <w:lang w:val="en-US" w:eastAsia="zh-CN" w:bidi="ar-SA"/>
        </w:rPr>
      </w:pPr>
    </w:p>
    <w:p>
      <w:pPr>
        <w:rPr>
          <w:rFonts w:ascii="Times New Roman" w:hAnsi="Times New Roman" w:eastAsia="宋体" w:cs="Times New Roman"/>
        </w:rPr>
      </w:pPr>
    </w:p>
    <w:p>
      <w:pPr>
        <w:rPr>
          <w:rFonts w:hint="default" w:ascii="Times New Roman" w:hAnsi="Times New Roman" w:eastAsia="宋体" w:cs="Times New Roman"/>
          <w:lang w:val="en-US" w:eastAsia="zh-CN"/>
        </w:rPr>
      </w:pPr>
    </w:p>
    <w:p/>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39" w:lineRule="atLeast"/>
      <w:jc w:val="left"/>
      <w:rPr>
        <w:rFonts w:ascii="Times New Roman" w:hAnsi="Times New Roman" w:eastAsia="宋体" w:cs="Times New Roman"/>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39" w:lineRule="atLeast"/>
      <w:jc w:val="left"/>
      <w:rPr>
        <w:rFonts w:ascii="Times New Roman" w:hAnsi="Times New Roman" w:eastAsia="宋体"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FD26A2"/>
    <w:multiLevelType w:val="singleLevel"/>
    <w:tmpl w:val="A4FD26A2"/>
    <w:lvl w:ilvl="0" w:tentative="0">
      <w:start w:val="1"/>
      <w:numFmt w:val="chineseCounting"/>
      <w:suff w:val="nothing"/>
      <w:lvlText w:val="（%1）"/>
      <w:lvlJc w:val="left"/>
      <w:rPr>
        <w:rFonts w:hint="eastAsia"/>
      </w:rPr>
    </w:lvl>
  </w:abstractNum>
  <w:abstractNum w:abstractNumId="1">
    <w:nsid w:val="F649348D"/>
    <w:multiLevelType w:val="singleLevel"/>
    <w:tmpl w:val="F649348D"/>
    <w:lvl w:ilvl="0" w:tentative="0">
      <w:start w:val="1"/>
      <w:numFmt w:val="chineseCounting"/>
      <w:suff w:val="nothing"/>
      <w:lvlText w:val="（%1）"/>
      <w:lvlJc w:val="left"/>
      <w:rPr>
        <w:rFonts w:hint="eastAsia"/>
      </w:rPr>
    </w:lvl>
  </w:abstractNum>
  <w:abstractNum w:abstractNumId="2">
    <w:nsid w:val="209A6F94"/>
    <w:multiLevelType w:val="singleLevel"/>
    <w:tmpl w:val="209A6F94"/>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04497E53"/>
    <w:rsid w:val="01FF72E3"/>
    <w:rsid w:val="04497E53"/>
    <w:rsid w:val="0CA808BD"/>
    <w:rsid w:val="11BC6A6E"/>
    <w:rsid w:val="1C572E06"/>
    <w:rsid w:val="1DAE6F05"/>
    <w:rsid w:val="1DFF53E8"/>
    <w:rsid w:val="1F9E5906"/>
    <w:rsid w:val="241E71E1"/>
    <w:rsid w:val="28876522"/>
    <w:rsid w:val="2DB7600C"/>
    <w:rsid w:val="31A10649"/>
    <w:rsid w:val="369120C0"/>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2024-08-16T04:21:00Z</dcterms:created>
  <dc:creator>车走子</dc:creator>
  <cp:lastModifiedBy>车走子</cp:lastModifiedBy>
  <dcterms:modified xsi:type="dcterms:W3CDTF">2024-08-16T04:22:15Z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A9756435AEC449F5964BA5C42D86A6CE_11</vt:lpwstr>
  </property>
</Properties>
</file>