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20" w:lineRule="exact"/>
        <w:jc w:val="both"/>
        <w:textAlignment w:val="auto"/>
        <w:rPr>
          <w:rFonts w:hint="eastAsia" w:ascii="黑体" w:hAnsi="黑体" w:eastAsia="黑体" w:cs="黑体"/>
          <w:bCs/>
          <w:color w:val="auto"/>
          <w:sz w:val="32"/>
          <w:szCs w:val="32"/>
          <w:lang w:val="en-US" w:eastAsia="zh-CN"/>
        </w:rPr>
      </w:pPr>
      <w:r>
        <w:rPr>
          <w:rFonts w:hint="eastAsia" w:ascii="黑体" w:hAnsi="黑体" w:eastAsia="黑体" w:cs="黑体"/>
          <w:bCs/>
          <w:color w:val="auto"/>
          <w:sz w:val="32"/>
          <w:szCs w:val="32"/>
          <w:lang w:eastAsia="zh-CN"/>
        </w:rPr>
        <w:t>附件</w:t>
      </w:r>
      <w:r>
        <w:rPr>
          <w:rFonts w:hint="eastAsia" w:ascii="黑体" w:hAnsi="黑体" w:eastAsia="黑体" w:cs="黑体"/>
          <w:bCs/>
          <w:color w:val="auto"/>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Times New Roman" w:hAnsi="Times New Roman" w:eastAsia="方正小标宋简体" w:cs="方正小标宋简体"/>
          <w:bCs/>
          <w:color w:val="000000"/>
          <w:spacing w:val="20"/>
          <w:sz w:val="44"/>
          <w:szCs w:val="44"/>
          <w:lang w:eastAsia="zh-CN"/>
        </w:rPr>
      </w:pPr>
      <w:bookmarkStart w:id="2" w:name="_GoBack"/>
      <w:r>
        <w:rPr>
          <w:rFonts w:hint="eastAsia" w:ascii="Times New Roman" w:hAnsi="Times New Roman" w:eastAsia="方正小标宋简体" w:cs="方正小标宋简体"/>
          <w:bCs/>
          <w:color w:val="000000"/>
          <w:spacing w:val="20"/>
          <w:sz w:val="44"/>
          <w:szCs w:val="44"/>
          <w:lang w:eastAsia="zh-CN"/>
        </w:rPr>
        <w:t>惠东县城镇建设用地项目</w:t>
      </w:r>
      <w:r>
        <w:rPr>
          <w:rFonts w:hint="eastAsia" w:ascii="Times New Roman" w:hAnsi="Times New Roman" w:eastAsia="方正小标宋简体" w:cs="方正小标宋简体"/>
          <w:bCs/>
          <w:color w:val="000000"/>
          <w:spacing w:val="20"/>
          <w:sz w:val="44"/>
          <w:szCs w:val="44"/>
          <w:lang w:val="en-US" w:eastAsia="zh-CN"/>
        </w:rPr>
        <w:t>[</w:t>
      </w:r>
      <w:r>
        <w:rPr>
          <w:rFonts w:hint="eastAsia" w:ascii="Times New Roman" w:hAnsi="Times New Roman" w:eastAsia="方正小标宋简体" w:cs="方正小标宋简体"/>
          <w:bCs/>
          <w:color w:val="000000"/>
          <w:spacing w:val="20"/>
          <w:sz w:val="44"/>
          <w:szCs w:val="44"/>
          <w:lang w:eastAsia="zh-CN"/>
        </w:rPr>
        <w:t>惠东县大洲片区</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Times New Roman" w:hAnsi="Times New Roman" w:eastAsia="方正小标宋简体" w:cs="方正小标宋简体"/>
          <w:bCs/>
          <w:color w:val="000000"/>
          <w:sz w:val="44"/>
          <w:szCs w:val="44"/>
          <w:lang w:val="en-US" w:eastAsia="zh-CN"/>
        </w:rPr>
      </w:pPr>
      <w:r>
        <w:rPr>
          <w:rFonts w:hint="eastAsia" w:ascii="Times New Roman" w:hAnsi="Times New Roman" w:eastAsia="方正小标宋简体" w:cs="方正小标宋简体"/>
          <w:bCs/>
          <w:color w:val="000000"/>
          <w:sz w:val="44"/>
          <w:szCs w:val="44"/>
          <w:lang w:eastAsia="zh-CN"/>
        </w:rPr>
        <w:t>新型城镇化基础设施建设项目（沿江北路）</w:t>
      </w:r>
      <w:r>
        <w:rPr>
          <w:rFonts w:hint="eastAsia" w:ascii="Times New Roman" w:hAnsi="Times New Roman" w:eastAsia="方正小标宋简体" w:cs="方正小标宋简体"/>
          <w:bCs/>
          <w:color w:val="000000"/>
          <w:sz w:val="44"/>
          <w:szCs w:val="44"/>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center"/>
        <w:rPr>
          <w:rFonts w:hint="eastAsia"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lang w:eastAsia="zh-CN"/>
        </w:rPr>
        <w:t>征地补偿安置方案</w:t>
      </w:r>
      <w:bookmarkEnd w:id="2"/>
    </w:p>
    <w:p>
      <w:pPr>
        <w:keepNext w:val="0"/>
        <w:keepLines w:val="0"/>
        <w:pageBreakBefore w:val="0"/>
        <w:widowControl w:val="0"/>
        <w:kinsoku/>
        <w:wordWrap/>
        <w:overflowPunct/>
        <w:topLinePunct w:val="0"/>
        <w:autoSpaceDE/>
        <w:autoSpaceDN/>
        <w:bidi w:val="0"/>
        <w:adjustRightInd/>
        <w:snapToGrid/>
        <w:spacing w:line="620" w:lineRule="exact"/>
        <w:jc w:val="center"/>
        <w:textAlignment w:val="center"/>
        <w:rPr>
          <w:rFonts w:ascii="Times New Roman" w:hAnsi="Times New Roman" w:eastAsia="黑体" w:cs="黑体"/>
          <w:b/>
          <w:bCs/>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为了公共利益的需要，依据《中华人民共和国土地管理法》，经惠东县人民政府研究，拟征收大岭街道</w:t>
      </w:r>
      <w:r>
        <w:rPr>
          <w:rFonts w:hint="eastAsia" w:ascii="仿宋" w:hAnsi="仿宋" w:eastAsia="仿宋" w:cs="仿宋"/>
          <w:color w:val="000000"/>
          <w:sz w:val="32"/>
          <w:szCs w:val="32"/>
        </w:rPr>
        <w:t>大岭社区、大洲村</w:t>
      </w:r>
      <w:r>
        <w:rPr>
          <w:rFonts w:hint="eastAsia" w:ascii="仿宋" w:hAnsi="仿宋" w:eastAsia="仿宋" w:cs="仿宋"/>
          <w:color w:val="000000"/>
          <w:sz w:val="32"/>
          <w:szCs w:val="32"/>
          <w:lang w:eastAsia="zh-CN"/>
        </w:rPr>
        <w:t>地段</w:t>
      </w:r>
      <w:r>
        <w:rPr>
          <w:rFonts w:hint="eastAsia" w:ascii="仿宋" w:hAnsi="仿宋" w:eastAsia="仿宋" w:cs="仿宋"/>
          <w:bCs/>
          <w:sz w:val="32"/>
          <w:szCs w:val="32"/>
        </w:rPr>
        <w:t>128.04亩集体土地。根据国家、省、市的相关法律、法规和我市的有关规定，结合土地现状调查结果，特制订本项目征地补偿安置方案如下：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sz w:val="32"/>
          <w:szCs w:val="32"/>
        </w:rPr>
      </w:pPr>
      <w:bookmarkStart w:id="0" w:name="_Toc16733"/>
      <w:r>
        <w:rPr>
          <w:rFonts w:ascii="黑体" w:hAnsi="黑体" w:eastAsia="黑体" w:cs="黑体"/>
          <w:bCs/>
          <w:sz w:val="32"/>
          <w:szCs w:val="32"/>
        </w:rPr>
        <w:t>一、</w:t>
      </w:r>
      <w:bookmarkEnd w:id="0"/>
      <w:r>
        <w:rPr>
          <w:rFonts w:ascii="黑体" w:hAnsi="黑体" w:eastAsia="黑体" w:cs="黑体"/>
          <w:bCs/>
          <w:sz w:val="32"/>
          <w:szCs w:val="32"/>
        </w:rPr>
        <w:t>征收土地的位置、范围、权属、面积和现状</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拟征收土地位于大岭街道大岭社区、大洲村</w:t>
      </w:r>
      <w:r>
        <w:rPr>
          <w:rFonts w:hint="eastAsia" w:ascii="仿宋" w:hAnsi="仿宋" w:eastAsia="仿宋" w:cs="仿宋"/>
          <w:bCs/>
          <w:sz w:val="32"/>
          <w:szCs w:val="32"/>
          <w:lang w:eastAsia="zh-CN"/>
        </w:rPr>
        <w:t>地段</w:t>
      </w:r>
      <w:r>
        <w:rPr>
          <w:rFonts w:hint="eastAsia" w:ascii="仿宋" w:hAnsi="仿宋" w:eastAsia="仿宋" w:cs="仿宋"/>
          <w:bCs/>
          <w:sz w:val="32"/>
          <w:szCs w:val="32"/>
        </w:rPr>
        <w:t>，属大岭街道大岭社区居渡一、渡二经济合作社</w:t>
      </w:r>
      <w:r>
        <w:rPr>
          <w:rFonts w:hint="eastAsia" w:ascii="仿宋" w:hAnsi="仿宋" w:eastAsia="仿宋" w:cs="仿宋"/>
          <w:bCs/>
          <w:sz w:val="32"/>
          <w:szCs w:val="32"/>
          <w:lang w:val="en-US" w:eastAsia="zh-CN"/>
        </w:rPr>
        <w:t>，</w:t>
      </w:r>
      <w:r>
        <w:rPr>
          <w:rFonts w:hint="eastAsia" w:ascii="仿宋" w:hAnsi="仿宋" w:eastAsia="仿宋" w:cs="仿宋"/>
          <w:bCs/>
          <w:sz w:val="32"/>
          <w:szCs w:val="32"/>
        </w:rPr>
        <w:t>大洲村大一、大二、大三、大四、大五、大六、大七</w:t>
      </w:r>
      <w:r>
        <w:rPr>
          <w:rFonts w:hint="eastAsia" w:ascii="仿宋" w:hAnsi="仿宋" w:eastAsia="仿宋" w:cs="仿宋"/>
          <w:bCs/>
          <w:sz w:val="32"/>
          <w:szCs w:val="32"/>
          <w:lang w:eastAsia="zh-CN"/>
        </w:rPr>
        <w:t>、</w:t>
      </w:r>
      <w:r>
        <w:rPr>
          <w:rFonts w:hint="eastAsia" w:ascii="仿宋" w:hAnsi="仿宋" w:eastAsia="仿宋" w:cs="仿宋"/>
          <w:bCs/>
          <w:sz w:val="32"/>
          <w:szCs w:val="32"/>
        </w:rPr>
        <w:t>小池竹经济合作社</w:t>
      </w:r>
      <w:r>
        <w:rPr>
          <w:rFonts w:hint="eastAsia" w:ascii="仿宋" w:hAnsi="仿宋" w:eastAsia="仿宋" w:cs="仿宋"/>
          <w:bCs/>
          <w:sz w:val="32"/>
          <w:szCs w:val="32"/>
          <w:lang w:val="en-US" w:eastAsia="zh-CN"/>
        </w:rPr>
        <w:t>，</w:t>
      </w:r>
      <w:r>
        <w:rPr>
          <w:rFonts w:hint="eastAsia" w:ascii="仿宋" w:hAnsi="仿宋" w:eastAsia="仿宋" w:cs="仿宋"/>
          <w:bCs/>
          <w:sz w:val="32"/>
          <w:szCs w:val="32"/>
        </w:rPr>
        <w:t>大洲经济联合社所有的集体土地，面积为128.04亩，其中农用地100.6845亩、林地20.325亩、建设用地2.754亩、未利用地4.2765亩；四至范围详见附件《拟征收土地四至界线图》。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sz w:val="32"/>
          <w:szCs w:val="32"/>
        </w:rPr>
      </w:pPr>
      <w:bookmarkStart w:id="1" w:name="_Toc31854"/>
      <w:r>
        <w:rPr>
          <w:rFonts w:ascii="黑体" w:hAnsi="黑体" w:eastAsia="黑体" w:cs="黑体"/>
          <w:bCs/>
          <w:sz w:val="32"/>
          <w:szCs w:val="32"/>
        </w:rPr>
        <w:t>二、征收目的</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eastAsia="zh-CN"/>
        </w:rPr>
      </w:pPr>
      <w:r>
        <w:rPr>
          <w:rFonts w:hint="eastAsia" w:ascii="仿宋" w:hAnsi="仿宋" w:eastAsia="仿宋" w:cs="仿宋"/>
          <w:bCs/>
          <w:sz w:val="32"/>
          <w:szCs w:val="32"/>
        </w:rPr>
        <w:t>本次拟征收土地用于惠东县城镇建设用地项目[惠东县大洲片区新型城镇化基础设施建设项目（沿江北路）]</w:t>
      </w:r>
      <w:r>
        <w:rPr>
          <w:rFonts w:hint="eastAsia" w:ascii="仿宋" w:hAnsi="仿宋" w:eastAsia="仿宋" w:cs="仿宋"/>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sz w:val="32"/>
          <w:szCs w:val="32"/>
        </w:rPr>
      </w:pPr>
      <w:r>
        <w:rPr>
          <w:rFonts w:ascii="黑体" w:hAnsi="黑体" w:eastAsia="黑体" w:cs="黑体"/>
          <w:bCs/>
          <w:sz w:val="32"/>
          <w:szCs w:val="32"/>
        </w:rPr>
        <w:t>三、</w:t>
      </w:r>
      <w:bookmarkEnd w:id="1"/>
      <w:r>
        <w:rPr>
          <w:rFonts w:ascii="黑体" w:hAnsi="黑体" w:eastAsia="黑体" w:cs="黑体"/>
          <w:bCs/>
          <w:sz w:val="32"/>
          <w:szCs w:val="32"/>
        </w:rPr>
        <w:t>征收土地补偿标准、安置方式和社会保障：</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（一）本次征地实行区片综合地价补偿，具体补偿标准如下：</w:t>
      </w:r>
    </w:p>
    <w:tbl>
      <w:tblPr>
        <w:tblStyle w:val="5"/>
        <w:tblW w:w="10174"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236"/>
        <w:gridCol w:w="1602"/>
        <w:gridCol w:w="1455"/>
        <w:gridCol w:w="1695"/>
        <w:gridCol w:w="1545"/>
        <w:gridCol w:w="164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0"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被征地的集体</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ascii="仿宋" w:hAnsi="仿宋" w:eastAsia="仿宋" w:cs="宋体"/>
                <w:b/>
                <w:bCs/>
                <w:color w:val="000000"/>
                <w:kern w:val="0"/>
                <w:sz w:val="28"/>
                <w:szCs w:val="28"/>
              </w:rPr>
            </w:pPr>
            <w:r>
              <w:rPr>
                <w:rFonts w:hint="eastAsia" w:ascii="仿宋" w:hAnsi="仿宋" w:eastAsia="仿宋" w:cs="仿宋"/>
                <w:b/>
                <w:bCs/>
                <w:color w:val="000000"/>
                <w:kern w:val="0"/>
                <w:sz w:val="30"/>
                <w:szCs w:val="30"/>
                <w:lang w:bidi="ar"/>
              </w:rPr>
              <w:t>经济组织</w:t>
            </w:r>
          </w:p>
        </w:tc>
        <w:tc>
          <w:tcPr>
            <w:tcW w:w="1602"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地类</w:t>
            </w:r>
          </w:p>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宋体"/>
                <w:b/>
                <w:bCs/>
                <w:color w:val="000000"/>
                <w:kern w:val="0"/>
                <w:sz w:val="28"/>
                <w:szCs w:val="28"/>
              </w:rPr>
            </w:pPr>
            <w:r>
              <w:rPr>
                <w:rFonts w:hint="eastAsia" w:ascii="仿宋" w:hAnsi="仿宋" w:eastAsia="仿宋" w:cs="仿宋"/>
                <w:b/>
                <w:bCs/>
                <w:color w:val="000000"/>
                <w:kern w:val="0"/>
                <w:sz w:val="30"/>
                <w:szCs w:val="30"/>
                <w:lang w:bidi="ar"/>
              </w:rPr>
              <w:t>名称</w:t>
            </w:r>
          </w:p>
        </w:tc>
        <w:tc>
          <w:tcPr>
            <w:tcW w:w="1455"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hint="eastAsia" w:ascii="仿宋" w:hAnsi="仿宋" w:eastAsia="仿宋" w:cs="宋体"/>
                <w:b/>
                <w:bCs/>
                <w:color w:val="000000"/>
                <w:kern w:val="0"/>
                <w:sz w:val="28"/>
                <w:szCs w:val="28"/>
              </w:rPr>
            </w:pPr>
            <w:r>
              <w:rPr>
                <w:rFonts w:hint="eastAsia" w:ascii="仿宋" w:hAnsi="仿宋" w:eastAsia="仿宋" w:cs="仿宋"/>
                <w:b/>
                <w:bCs/>
                <w:color w:val="000000"/>
                <w:kern w:val="0"/>
                <w:sz w:val="30"/>
                <w:szCs w:val="30"/>
                <w:lang w:bidi="ar"/>
              </w:rPr>
              <w:t>土地面积（亩）</w:t>
            </w:r>
          </w:p>
        </w:tc>
        <w:tc>
          <w:tcPr>
            <w:tcW w:w="3240" w:type="dxa"/>
            <w:gridSpan w:val="2"/>
            <w:noWrap w:val="0"/>
            <w:vAlign w:val="center"/>
          </w:tcPr>
          <w:p>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仿宋"/>
                <w:b/>
                <w:bCs/>
                <w:sz w:val="30"/>
                <w:szCs w:val="30"/>
              </w:rPr>
            </w:pPr>
            <w:r>
              <w:rPr>
                <w:rFonts w:hint="eastAsia" w:ascii="仿宋" w:hAnsi="仿宋" w:eastAsia="仿宋" w:cs="仿宋"/>
                <w:b/>
                <w:bCs/>
                <w:sz w:val="30"/>
                <w:szCs w:val="30"/>
              </w:rPr>
              <w:t>征地区片</w:t>
            </w:r>
          </w:p>
          <w:p>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宋体"/>
                <w:b/>
                <w:bCs/>
                <w:color w:val="000000"/>
                <w:kern w:val="0"/>
                <w:sz w:val="28"/>
                <w:szCs w:val="28"/>
              </w:rPr>
            </w:pPr>
            <w:r>
              <w:rPr>
                <w:rFonts w:hint="eastAsia" w:ascii="仿宋" w:hAnsi="仿宋" w:eastAsia="仿宋" w:cs="仿宋"/>
                <w:b/>
                <w:bCs/>
                <w:sz w:val="30"/>
                <w:szCs w:val="30"/>
              </w:rPr>
              <w:t>综合地价</w:t>
            </w:r>
          </w:p>
        </w:tc>
        <w:tc>
          <w:tcPr>
            <w:tcW w:w="1641"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征地</w:t>
            </w:r>
          </w:p>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b/>
                <w:bCs/>
                <w:color w:val="000000"/>
                <w:kern w:val="0"/>
                <w:sz w:val="30"/>
                <w:szCs w:val="30"/>
                <w:lang w:bidi="ar"/>
              </w:rPr>
            </w:pPr>
            <w:r>
              <w:rPr>
                <w:rFonts w:hint="eastAsia" w:ascii="仿宋" w:hAnsi="仿宋" w:eastAsia="仿宋" w:cs="仿宋"/>
                <w:b/>
                <w:bCs/>
                <w:color w:val="000000"/>
                <w:kern w:val="0"/>
                <w:sz w:val="30"/>
                <w:szCs w:val="30"/>
                <w:lang w:bidi="ar"/>
              </w:rPr>
              <w:t>补偿费</w:t>
            </w:r>
          </w:p>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宋体"/>
                <w:b/>
                <w:bCs/>
                <w:color w:val="000000"/>
                <w:kern w:val="0"/>
                <w:sz w:val="30"/>
                <w:szCs w:val="30"/>
              </w:rPr>
            </w:pPr>
            <w:r>
              <w:rPr>
                <w:rFonts w:hint="eastAsia" w:ascii="仿宋" w:hAnsi="仿宋" w:eastAsia="仿宋" w:cs="仿宋"/>
                <w:b/>
                <w:bCs/>
                <w:color w:val="000000"/>
                <w:kern w:val="0"/>
                <w:sz w:val="30"/>
                <w:szCs w:val="30"/>
                <w:lang w:bidi="ar"/>
              </w:rPr>
              <w:t>（万元）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05"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ascii="仿宋" w:hAnsi="仿宋" w:eastAsia="仿宋" w:cs="宋体"/>
                <w:b/>
                <w:bCs/>
                <w:color w:val="000000"/>
                <w:kern w:val="0"/>
                <w:sz w:val="28"/>
                <w:szCs w:val="28"/>
              </w:rPr>
            </w:pPr>
          </w:p>
        </w:tc>
        <w:tc>
          <w:tcPr>
            <w:tcW w:w="1602"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ascii="仿宋" w:hAnsi="仿宋" w:eastAsia="仿宋" w:cs="宋体"/>
                <w:b/>
                <w:bCs/>
                <w:color w:val="000000"/>
                <w:kern w:val="0"/>
                <w:sz w:val="28"/>
                <w:szCs w:val="28"/>
              </w:rPr>
            </w:pPr>
          </w:p>
        </w:tc>
        <w:tc>
          <w:tcPr>
            <w:tcW w:w="1455"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500" w:lineRule="exact"/>
              <w:ind w:left="0" w:leftChars="0" w:right="0" w:rightChars="0"/>
              <w:jc w:val="center"/>
              <w:textAlignment w:val="center"/>
              <w:rPr>
                <w:rFonts w:ascii="仿宋" w:hAnsi="仿宋" w:eastAsia="仿宋" w:cs="宋体"/>
                <w:b/>
                <w:bCs/>
                <w:color w:val="000000"/>
                <w:kern w:val="0"/>
                <w:sz w:val="28"/>
                <w:szCs w:val="28"/>
              </w:rPr>
            </w:pPr>
          </w:p>
        </w:tc>
        <w:tc>
          <w:tcPr>
            <w:tcW w:w="1695" w:type="dxa"/>
            <w:noWrap w:val="0"/>
            <w:vAlign w:val="center"/>
          </w:tcPr>
          <w:p>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宋体"/>
                <w:b/>
                <w:bCs/>
                <w:color w:val="000000"/>
                <w:kern w:val="0"/>
                <w:sz w:val="28"/>
                <w:szCs w:val="28"/>
              </w:rPr>
            </w:pPr>
            <w:r>
              <w:rPr>
                <w:rFonts w:hint="eastAsia" w:ascii="仿宋" w:hAnsi="仿宋" w:eastAsia="仿宋" w:cs="仿宋"/>
                <w:b/>
                <w:bCs/>
                <w:sz w:val="30"/>
                <w:szCs w:val="30"/>
              </w:rPr>
              <w:t>土地补偿费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545" w:type="dxa"/>
            <w:noWrap w:val="0"/>
            <w:vAlign w:val="center"/>
          </w:tcPr>
          <w:p>
            <w:pPr>
              <w:keepNext w:val="0"/>
              <w:keepLines w:val="0"/>
              <w:pageBreakBefore w:val="0"/>
              <w:widowControl/>
              <w:kinsoku/>
              <w:wordWrap/>
              <w:overflowPunct/>
              <w:topLinePunct w:val="0"/>
              <w:autoSpaceDE/>
              <w:autoSpaceDN/>
              <w:bidi w:val="0"/>
              <w:adjustRightInd/>
              <w:snapToGrid w:val="0"/>
              <w:spacing w:line="500" w:lineRule="exact"/>
              <w:jc w:val="center"/>
              <w:textAlignment w:val="auto"/>
              <w:outlineLvl w:val="9"/>
              <w:rPr>
                <w:rFonts w:hint="eastAsia" w:ascii="仿宋" w:hAnsi="仿宋" w:eastAsia="仿宋" w:cs="宋体"/>
                <w:b/>
                <w:bCs/>
                <w:color w:val="000000"/>
                <w:kern w:val="0"/>
                <w:sz w:val="28"/>
                <w:szCs w:val="28"/>
              </w:rPr>
            </w:pPr>
            <w:r>
              <w:rPr>
                <w:rFonts w:hint="eastAsia" w:ascii="仿宋" w:hAnsi="仿宋" w:eastAsia="仿宋" w:cs="仿宋"/>
                <w:b/>
                <w:bCs/>
                <w:sz w:val="30"/>
                <w:szCs w:val="30"/>
              </w:rPr>
              <w:t>安置补助费</w:t>
            </w:r>
            <w:r>
              <w:rPr>
                <w:rFonts w:hint="eastAsia" w:ascii="仿宋" w:hAnsi="仿宋" w:eastAsia="仿宋" w:cs="仿宋"/>
                <w:b/>
                <w:bCs/>
                <w:sz w:val="30"/>
                <w:szCs w:val="30"/>
                <w:lang w:val="en-US" w:eastAsia="zh-CN"/>
              </w:rPr>
              <w:t>(</w:t>
            </w:r>
            <w:r>
              <w:rPr>
                <w:rFonts w:hint="eastAsia" w:ascii="仿宋" w:hAnsi="仿宋" w:eastAsia="仿宋" w:cs="仿宋"/>
                <w:b/>
                <w:bCs/>
                <w:sz w:val="30"/>
                <w:szCs w:val="30"/>
              </w:rPr>
              <w:t>万元</w:t>
            </w:r>
            <w:r>
              <w:rPr>
                <w:rFonts w:hint="eastAsia" w:ascii="仿宋" w:hAnsi="仿宋" w:eastAsia="仿宋" w:cs="仿宋"/>
                <w:b/>
                <w:bCs/>
                <w:sz w:val="30"/>
                <w:szCs w:val="30"/>
                <w:lang w:val="en-US" w:eastAsia="zh-CN"/>
              </w:rPr>
              <w:t>/亩</w:t>
            </w:r>
            <w:r>
              <w:rPr>
                <w:rFonts w:hint="eastAsia" w:ascii="仿宋" w:hAnsi="仿宋" w:eastAsia="仿宋" w:cs="仿宋"/>
                <w:b/>
                <w:bCs/>
                <w:sz w:val="30"/>
                <w:szCs w:val="30"/>
              </w:rPr>
              <w:t>）</w:t>
            </w:r>
          </w:p>
        </w:tc>
        <w:tc>
          <w:tcPr>
            <w:tcW w:w="1641"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ascii="仿宋" w:hAnsi="仿宋" w:eastAsia="仿宋" w:cs="宋体"/>
                <w:b/>
                <w:bCs/>
                <w:color w:val="000000"/>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4"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大岭街道大岭社区居渡一、渡二经济合作社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9.762</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63.453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9"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1.287</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4.601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7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建设</w:t>
            </w:r>
          </w:p>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2.7525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17.8913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85"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未利用地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0.132</w:t>
            </w:r>
          </w:p>
        </w:tc>
        <w:tc>
          <w:tcPr>
            <w:tcW w:w="1695" w:type="dxa"/>
            <w:noWrap w:val="0"/>
            <w:vAlign w:val="center"/>
          </w:tcPr>
          <w:p>
            <w:pPr>
              <w:keepNext w:val="0"/>
              <w:keepLines w:val="0"/>
              <w:pageBreakBefore w:val="0"/>
              <w:widowControl/>
              <w:tabs>
                <w:tab w:val="center" w:pos="802"/>
                <w:tab w:val="right" w:pos="1485"/>
              </w:tabs>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lang w:val="en-US"/>
              </w:rPr>
            </w:pPr>
            <w:r>
              <w:rPr>
                <w:rFonts w:hint="eastAsia" w:ascii="仿宋" w:hAnsi="仿宋" w:eastAsia="仿宋" w:cs="仿宋"/>
                <w:color w:val="000000"/>
                <w:kern w:val="0"/>
                <w:sz w:val="30"/>
                <w:szCs w:val="30"/>
                <w:lang w:val="en-US" w:eastAsia="zh-CN"/>
              </w:rPr>
              <w:t>1.04</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lang w:val="en-US"/>
              </w:rPr>
            </w:pPr>
            <w:r>
              <w:rPr>
                <w:rFonts w:hint="eastAsia" w:ascii="仿宋" w:hAnsi="仿宋" w:eastAsia="仿宋" w:cs="仿宋"/>
                <w:color w:val="000000"/>
                <w:kern w:val="0"/>
                <w:sz w:val="30"/>
                <w:szCs w:val="30"/>
                <w:lang w:val="en-US" w:eastAsia="zh-CN"/>
              </w:rPr>
              <w:t>1.56</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0.3432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65"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大岭街道大洲村大二、大三、大四、大五、大六、大七经济合作社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0.471</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3.0615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95"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1.0605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3.7913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8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建设用地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0.0015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0.0098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1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未利用地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0.0975</w:t>
            </w:r>
          </w:p>
        </w:tc>
        <w:tc>
          <w:tcPr>
            <w:tcW w:w="1695" w:type="dxa"/>
            <w:noWrap w:val="0"/>
            <w:vAlign w:val="center"/>
          </w:tcPr>
          <w:p>
            <w:pPr>
              <w:keepNext w:val="0"/>
              <w:keepLines w:val="0"/>
              <w:pageBreakBefore w:val="0"/>
              <w:widowControl/>
              <w:tabs>
                <w:tab w:val="center" w:pos="802"/>
                <w:tab w:val="right" w:pos="1485"/>
              </w:tabs>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1.04</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1.56</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0.2535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24"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大岭街道大洲村大二经济合作社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17.259</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112.1835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9"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未利用地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3.1335</w:t>
            </w:r>
          </w:p>
        </w:tc>
        <w:tc>
          <w:tcPr>
            <w:tcW w:w="1695" w:type="dxa"/>
            <w:noWrap w:val="0"/>
            <w:vAlign w:val="center"/>
          </w:tcPr>
          <w:p>
            <w:pPr>
              <w:keepNext w:val="0"/>
              <w:keepLines w:val="0"/>
              <w:pageBreakBefore w:val="0"/>
              <w:widowControl/>
              <w:tabs>
                <w:tab w:val="center" w:pos="802"/>
                <w:tab w:val="right" w:pos="1485"/>
              </w:tabs>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1.04</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1.56</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8.1471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40"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大岭街道大洲村大一、大二、大三、大四、大五、大六、大七经济合作社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0.0555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0.3608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39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0.039</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0.1394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大岭街道大洲村大一、大二、大三、大四、大五、大六经济合作社</w:t>
            </w:r>
          </w:p>
        </w:tc>
        <w:tc>
          <w:tcPr>
            <w:tcW w:w="1602"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3.108</w:t>
            </w:r>
          </w:p>
        </w:tc>
        <w:tc>
          <w:tcPr>
            <w:tcW w:w="169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20.202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03"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45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69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54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641"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31"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大岭街道大洲村大一、大二经济合作社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0.4785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3.1103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36"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0.2445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0.8741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大岭街道大洲村大一、大三、大四、大五、大六经济合作社</w:t>
            </w:r>
          </w:p>
        </w:tc>
        <w:tc>
          <w:tcPr>
            <w:tcW w:w="1602"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2.7135</w:t>
            </w:r>
          </w:p>
        </w:tc>
        <w:tc>
          <w:tcPr>
            <w:tcW w:w="169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17.6378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43"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45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69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545"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c>
          <w:tcPr>
            <w:tcW w:w="1641"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02"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大岭街道大洲村大一经济合作社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18.09</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117.585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008"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6.5235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23.3215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76"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大岭街道大洲村小池竹经济合作社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45.8085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297.7553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61"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11.1105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39.72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65" w:hRule="atLeast"/>
          <w:jc w:val="center"/>
        </w:trPr>
        <w:tc>
          <w:tcPr>
            <w:tcW w:w="2236" w:type="dxa"/>
            <w:vMerge w:val="restart"/>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大岭街道大洲经济联合社</w:t>
            </w: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农用地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2.9385</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2.6</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3.9</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19.1003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6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林地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0.06</w:t>
            </w:r>
          </w:p>
        </w:tc>
        <w:tc>
          <w:tcPr>
            <w:tcW w:w="169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1.43</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2.145</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0.2145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90" w:hRule="atLeast"/>
          <w:jc w:val="center"/>
        </w:trPr>
        <w:tc>
          <w:tcPr>
            <w:tcW w:w="2236" w:type="dxa"/>
            <w:vMerge w:val="continue"/>
            <w:noWrap w:val="0"/>
            <w:vAlign w:val="center"/>
          </w:tcPr>
          <w:p>
            <w:pPr>
              <w:keepNext w:val="0"/>
              <w:keepLines w:val="0"/>
              <w:pageBreakBefore w:val="0"/>
              <w:widowControl/>
              <w:kinsoku/>
              <w:wordWrap/>
              <w:overflowPunct/>
              <w:topLinePunct w:val="0"/>
              <w:autoSpaceDE/>
              <w:autoSpaceDN/>
              <w:bidi w:val="0"/>
              <w:adjustRightInd/>
              <w:spacing w:line="500" w:lineRule="exact"/>
              <w:jc w:val="left"/>
              <w:rPr>
                <w:rFonts w:hint="eastAsia" w:ascii="仿宋" w:hAnsi="仿宋" w:eastAsia="仿宋" w:cs="仿宋"/>
                <w:color w:val="000000"/>
                <w:kern w:val="0"/>
                <w:sz w:val="30"/>
                <w:szCs w:val="30"/>
              </w:rPr>
            </w:pPr>
          </w:p>
        </w:tc>
        <w:tc>
          <w:tcPr>
            <w:tcW w:w="1602"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未利用地</w:t>
            </w:r>
          </w:p>
        </w:tc>
        <w:tc>
          <w:tcPr>
            <w:tcW w:w="145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0.9135</w:t>
            </w:r>
          </w:p>
        </w:tc>
        <w:tc>
          <w:tcPr>
            <w:tcW w:w="1695" w:type="dxa"/>
            <w:noWrap w:val="0"/>
            <w:vAlign w:val="center"/>
          </w:tcPr>
          <w:p>
            <w:pPr>
              <w:keepNext w:val="0"/>
              <w:keepLines w:val="0"/>
              <w:pageBreakBefore w:val="0"/>
              <w:widowControl/>
              <w:tabs>
                <w:tab w:val="center" w:pos="802"/>
                <w:tab w:val="right" w:pos="1485"/>
              </w:tabs>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1.04</w:t>
            </w:r>
          </w:p>
        </w:tc>
        <w:tc>
          <w:tcPr>
            <w:tcW w:w="1545"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1.56</w:t>
            </w:r>
          </w:p>
        </w:tc>
        <w:tc>
          <w:tcPr>
            <w:tcW w:w="1641" w:type="dxa"/>
            <w:noWrap w:val="0"/>
            <w:vAlign w:val="center"/>
          </w:tcPr>
          <w:p>
            <w:pPr>
              <w:keepNext w:val="0"/>
              <w:keepLines w:val="0"/>
              <w:pageBreakBefore w:val="0"/>
              <w:widowControl/>
              <w:kinsoku/>
              <w:wordWrap/>
              <w:overflowPunct/>
              <w:topLinePunct w:val="0"/>
              <w:autoSpaceDE/>
              <w:autoSpaceDN/>
              <w:bidi w:val="0"/>
              <w:adjustRightInd/>
              <w:spacing w:line="500" w:lineRule="exact"/>
              <w:jc w:val="center"/>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2.3751</w:t>
            </w:r>
          </w:p>
        </w:tc>
      </w:tr>
    </w:tbl>
    <w:tbl>
      <w:tblPr>
        <w:tblStyle w:val="5"/>
        <w:tblpPr w:leftFromText="180" w:rightFromText="180" w:vertAnchor="text" w:tblpX="10568" w:tblpY="-30234"/>
        <w:tblOverlap w:val="never"/>
        <w:tblW w:w="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27" w:type="dxa"/>
            <w:tcBorders>
              <w:top w:val="single" w:color="auto" w:sz="4" w:space="0"/>
              <w:left w:val="single" w:color="auto" w:sz="4" w:space="0"/>
              <w:bottom w:val="single" w:color="auto" w:sz="4" w:space="0"/>
              <w:right w:val="single" w:color="auto" w:sz="4" w:space="0"/>
            </w:tcBorders>
            <w:noWrap w:val="0"/>
            <w:vAlign w:val="top"/>
          </w:tcPr>
          <w:p>
            <w:pPr>
              <w:widowControl w:val="0"/>
              <w:ind w:firstLine="480" w:firstLineChars="200"/>
              <w:jc w:val="both"/>
              <w:rPr>
                <w:rFonts w:ascii="Calibri" w:hAnsi="Calibri" w:eastAsia="宋体" w:cs="Arial"/>
                <w:kern w:val="2"/>
                <w:sz w:val="24"/>
                <w:szCs w:val="22"/>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（二）住宅、其他地上附着物和青苗补偿费按《惠州市人民政府关于印发&lt;惠州市集体土地征收与补偿办法&gt;的通知》（惠府〔2021〕27号）规定的标准进行核算。</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bCs/>
          <w:sz w:val="32"/>
          <w:szCs w:val="32"/>
        </w:rPr>
        <w:t>（三）被征地农民按广东省人力资源和社会保障厅有关规定纳入相应的养老等社会保障体系。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 w:hAnsi="仿宋" w:eastAsia="仿宋" w:cs="仿宋"/>
          <w:bCs/>
          <w:kern w:val="2"/>
          <w:sz w:val="32"/>
          <w:szCs w:val="32"/>
          <w:lang w:val="en-US" w:eastAsia="zh-CN" w:bidi="ar-SA"/>
        </w:rPr>
      </w:pPr>
      <w:r>
        <w:rPr>
          <w:rFonts w:hint="eastAsia" w:ascii="仿宋" w:hAnsi="仿宋" w:eastAsia="仿宋" w:cs="仿宋"/>
          <w:bCs/>
          <w:kern w:val="2"/>
          <w:sz w:val="32"/>
          <w:szCs w:val="32"/>
          <w:lang w:val="en-US" w:eastAsia="zh-CN" w:bidi="ar-SA"/>
        </w:rPr>
        <w:t>（四）留用地安置按国家、省的有关规定执行。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sz w:val="32"/>
          <w:szCs w:val="32"/>
        </w:rPr>
      </w:pPr>
      <w:r>
        <w:rPr>
          <w:rFonts w:ascii="黑体" w:hAnsi="黑体" w:eastAsia="黑体" w:cs="黑体"/>
          <w:bCs/>
          <w:sz w:val="32"/>
          <w:szCs w:val="32"/>
        </w:rPr>
        <w:t>四、征地补偿安置费用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征地补偿总费用1628.0286万元，其中：征地补偿费用756.1313万元（含土地补偿费和安置补助费）、青苗及地上附着物补偿费用662.5135万元、社保费用209.3838万元。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bCs/>
          <w:sz w:val="32"/>
          <w:szCs w:val="32"/>
        </w:rPr>
      </w:pPr>
      <w:r>
        <w:rPr>
          <w:rFonts w:ascii="黑体" w:hAnsi="黑体" w:eastAsia="黑体" w:cs="黑体"/>
          <w:bCs/>
          <w:sz w:val="32"/>
          <w:szCs w:val="32"/>
        </w:rPr>
        <w:t>五、征地补偿费用支付对象、支付方式和时间</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（一）补偿安置费用支付给被征地的农村集体经济组织。青苗补偿费、附着物补偿费支付给所有权人。</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（二）支付方式为转账、现金。社保费用缴入财政社保专户。</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（三）补偿款兑付时间为土地征收公告期满之日起三个月内。</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right"/>
        <w:textAlignment w:val="auto"/>
        <w:rPr>
          <w:rFonts w:hint="eastAsia" w:ascii="Times New Roman" w:hAnsi="Times New Roman" w:eastAsia="仿宋" w:cs="仿宋"/>
          <w:bCs/>
          <w:color w:val="000000"/>
          <w:kern w:val="2"/>
          <w:sz w:val="32"/>
          <w:szCs w:val="32"/>
          <w:lang w:val="en-US" w:eastAsia="zh-CN" w:bidi="ar-SA"/>
        </w:rPr>
      </w:pPr>
    </w:p>
    <w:p>
      <w:pPr>
        <w:keepNext w:val="0"/>
        <w:keepLines w:val="0"/>
        <w:pageBreakBefore w:val="0"/>
        <w:widowControl w:val="0"/>
        <w:kinsoku/>
        <w:wordWrap w:val="0"/>
        <w:overflowPunct/>
        <w:topLinePunct w:val="0"/>
        <w:autoSpaceDE/>
        <w:autoSpaceDN/>
        <w:bidi w:val="0"/>
        <w:adjustRightInd/>
        <w:snapToGrid/>
        <w:spacing w:line="580" w:lineRule="exact"/>
        <w:ind w:firstLine="664" w:firstLineChars="200"/>
        <w:jc w:val="right"/>
        <w:textAlignment w:val="auto"/>
        <w:rPr>
          <w:rFonts w:hint="eastAsia" w:ascii="仿宋" w:hAnsi="仿宋" w:eastAsia="仿宋" w:cs="仿宋"/>
          <w:color w:val="000000"/>
          <w:sz w:val="32"/>
          <w:szCs w:val="32"/>
          <w:lang w:val="en-US" w:eastAsia="zh-CN"/>
        </w:rPr>
      </w:pPr>
      <w:r>
        <w:rPr>
          <w:rFonts w:hint="eastAsia" w:ascii="仿宋" w:hAnsi="仿宋" w:eastAsia="仿宋" w:cs="仿宋"/>
          <w:color w:val="000000"/>
          <w:spacing w:val="6"/>
          <w:sz w:val="32"/>
          <w:szCs w:val="32"/>
        </w:rPr>
        <w:t>惠东县人民政府</w:t>
      </w:r>
      <w:r>
        <w:rPr>
          <w:rFonts w:hint="eastAsia" w:ascii="仿宋" w:hAnsi="仿宋" w:eastAsia="仿宋" w:cs="仿宋"/>
          <w:color w:val="00000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80" w:lineRule="exact"/>
        <w:ind w:firstLine="640" w:firstLineChars="200"/>
        <w:jc w:val="right"/>
        <w:textAlignment w:val="auto"/>
      </w:pPr>
      <w:r>
        <w:rPr>
          <w:rFonts w:hint="eastAsia" w:ascii="仿宋" w:hAnsi="仿宋" w:eastAsia="仿宋" w:cs="仿宋"/>
          <w:bCs/>
          <w:color w:val="000000"/>
          <w:sz w:val="32"/>
          <w:szCs w:val="32"/>
        </w:rPr>
        <w:t>202</w:t>
      </w:r>
      <w:r>
        <w:rPr>
          <w:rFonts w:hint="eastAsia" w:ascii="仿宋" w:hAnsi="仿宋" w:eastAsia="仿宋" w:cs="仿宋"/>
          <w:bCs/>
          <w:color w:val="000000"/>
          <w:sz w:val="32"/>
          <w:szCs w:val="32"/>
          <w:lang w:val="en-US" w:eastAsia="zh-CN"/>
        </w:rPr>
        <w:t>4</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8</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12</w:t>
      </w:r>
      <w:r>
        <w:rPr>
          <w:rFonts w:hint="eastAsia" w:ascii="仿宋" w:hAnsi="仿宋" w:eastAsia="仿宋" w:cs="仿宋"/>
          <w:bCs/>
          <w:color w:val="000000"/>
          <w:sz w:val="32"/>
          <w:szCs w:val="32"/>
        </w:rPr>
        <w:t>日</w:t>
      </w:r>
      <w:r>
        <w:rPr>
          <w:rFonts w:hint="eastAsia" w:ascii="仿宋" w:hAnsi="仿宋" w:eastAsia="仿宋" w:cs="仿宋"/>
          <w:bCs/>
          <w:color w:val="000000"/>
          <w:sz w:val="32"/>
          <w:szCs w:val="32"/>
          <w:lang w:val="en-US" w:eastAsia="zh-CN"/>
        </w:rPr>
        <w:t xml:space="preserve">       </w:t>
      </w:r>
    </w:p>
    <w:sectPr>
      <w:footerReference r:id="rId4" w:type="first"/>
      <w:footerReference r:id="rId3" w:type="default"/>
      <w:pgSz w:w="11906" w:h="16838"/>
      <w:pgMar w:top="1701" w:right="1247" w:bottom="1304" w:left="1417" w:header="851" w:footer="850" w:gutter="0"/>
      <w:pgNumType w:fmt="decimal" w:start="1"/>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r>
      <w:rPr>
        <w:rFonts w:ascii="Times New Roman" w:hAnsi="Times New Roman" w:eastAsia="宋体" w:cs="Times New Roman"/>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pacing w:line="439" w:lineRule="atLeast"/>
                      <w:jc w:val="left"/>
                      <w:rPr>
                        <w:rFonts w:ascii="Times New Roman" w:hAnsi="Times New Roman" w:eastAsia="宋体" w:cs="Times New Roman"/>
                      </w:rPr>
                    </w:pPr>
                    <w:r>
                      <w:rPr>
                        <w:rFonts w:hint="eastAsia" w:ascii="Times New Roman" w:hAnsi="Times New Roman" w:eastAsia="宋体" w:cs="Times New Roman"/>
                        <w:sz w:val="28"/>
                      </w:rPr>
                      <w:t xml:space="preserve">— </w:t>
                    </w:r>
                    <w:r>
                      <w:rPr>
                        <w:rFonts w:hint="eastAsia" w:ascii="仿宋" w:hAnsi="仿宋" w:eastAsia="仿宋" w:cs="仿宋"/>
                        <w:sz w:val="28"/>
                      </w:rPr>
                      <w:fldChar w:fldCharType="begin"/>
                    </w:r>
                    <w:r>
                      <w:rPr>
                        <w:rFonts w:hint="eastAsia" w:ascii="仿宋" w:hAnsi="仿宋" w:eastAsia="仿宋" w:cs="仿宋"/>
                        <w:sz w:val="28"/>
                      </w:rPr>
                      <w:instrText xml:space="preserve"> PAGE \* Arabic \* MERGEFORMAT </w:instrText>
                    </w:r>
                    <w:r>
                      <w:rPr>
                        <w:rFonts w:hint="eastAsia" w:ascii="仿宋" w:hAnsi="仿宋" w:eastAsia="仿宋" w:cs="仿宋"/>
                        <w:sz w:val="28"/>
                      </w:rPr>
                      <w:fldChar w:fldCharType="separate"/>
                    </w:r>
                    <w:r>
                      <w:rPr>
                        <w:rFonts w:hint="eastAsia" w:ascii="仿宋" w:hAnsi="仿宋" w:eastAsia="仿宋" w:cs="仿宋"/>
                      </w:rPr>
                      <w:t>2</w:t>
                    </w:r>
                    <w:r>
                      <w:rPr>
                        <w:rFonts w:hint="eastAsia" w:ascii="仿宋" w:hAnsi="仿宋" w:eastAsia="仿宋" w:cs="仿宋"/>
                        <w:sz w:val="28"/>
                      </w:rPr>
                      <w:fldChar w:fldCharType="end"/>
                    </w:r>
                    <w:r>
                      <w:rPr>
                        <w:rFonts w:hint="eastAsia" w:ascii="Times New Roman" w:hAnsi="Times New Roman" w:eastAsia="宋体" w:cs="Times New Roman"/>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39" w:lineRule="atLeast"/>
      <w:jc w:val="left"/>
      <w:rPr>
        <w:rFonts w:ascii="Times New Roman" w:hAnsi="Times New Roman" w:eastAsia="宋体"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mZDVhOTEwY2U0ZDg3YmEzZmVjM2E0Y2M4MjRiNmIifQ=="/>
  </w:docVars>
  <w:rsids>
    <w:rsidRoot w:val="405B22D3"/>
    <w:rsid w:val="01FF72E3"/>
    <w:rsid w:val="0CA808BD"/>
    <w:rsid w:val="11BC6A6E"/>
    <w:rsid w:val="1C572E06"/>
    <w:rsid w:val="1DAE6F05"/>
    <w:rsid w:val="1DFF53E8"/>
    <w:rsid w:val="1F9E5906"/>
    <w:rsid w:val="241E71E1"/>
    <w:rsid w:val="28876522"/>
    <w:rsid w:val="2DB7600C"/>
    <w:rsid w:val="31A10649"/>
    <w:rsid w:val="369120C0"/>
    <w:rsid w:val="3BA50A45"/>
    <w:rsid w:val="3F291E25"/>
    <w:rsid w:val="405B22D3"/>
    <w:rsid w:val="49F946EB"/>
    <w:rsid w:val="4F5003FB"/>
    <w:rsid w:val="535B64DB"/>
    <w:rsid w:val="6CB8708C"/>
    <w:rsid w:val="6D122F1A"/>
    <w:rsid w:val="72140F04"/>
    <w:rsid w:val="798B00BA"/>
    <w:rsid w:val="7FCE7D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1"/>
    <w:next w:val="1"/>
    <w:qFormat/>
    <w:uiPriority w:val="0"/>
    <w:pPr>
      <w:widowControl w:val="0"/>
      <w:ind w:firstLine="708" w:firstLineChars="236"/>
      <w:jc w:val="both"/>
    </w:pPr>
    <w:rPr>
      <w:rFonts w:ascii="Times New Roman" w:hAnsi="Times New Roman" w:eastAsia="宋体" w:cs="Times New Roman"/>
      <w:kern w:val="2"/>
      <w:sz w:val="30"/>
      <w:szCs w:val="30"/>
      <w:lang w:val="en-US" w:eastAsia="zh-CN" w:bidi="ar-SA"/>
    </w:rPr>
  </w:style>
  <w:style w:type="paragraph" w:styleId="3">
    <w:name w:val="Block Text"/>
    <w:qFormat/>
    <w:uiPriority w:val="0"/>
    <w:pPr>
      <w:widowControl w:val="0"/>
      <w:spacing w:after="120" w:afterLines="0" w:afterAutospacing="0"/>
      <w:ind w:left="1440" w:leftChars="700" w:rightChars="700"/>
      <w:jc w:val="both"/>
    </w:pPr>
    <w:rPr>
      <w:rFonts w:ascii="Times New Roman" w:hAnsi="Times New Roman" w:eastAsia="宋体" w:cs="Times New Roman"/>
      <w:kern w:val="2"/>
      <w:sz w:val="21"/>
      <w:szCs w:val="24"/>
      <w:lang w:val="en-US" w:eastAsia="zh-CN" w:bidi="ar-SA"/>
    </w:rPr>
  </w:style>
  <w:style w:type="paragraph" w:styleId="4">
    <w:name w:val="Plain Text"/>
    <w:basedOn w:val="1"/>
    <w:qFormat/>
    <w:uiPriority w:val="0"/>
    <w:rPr>
      <w:rFonts w:ascii="宋体" w:hAnsi="Courier New"/>
    </w:rPr>
  </w:style>
  <w:style w:type="paragraph" w:customStyle="1" w:styleId="7">
    <w:name w:val="正文1"/>
    <w:next w:val="3"/>
    <w:qFormat/>
    <w:uiPriority w:val="0"/>
    <w:pPr>
      <w:widowControl w:val="0"/>
      <w:ind w:firstLine="708" w:firstLineChars="236"/>
      <w:jc w:val="both"/>
    </w:pPr>
    <w:rPr>
      <w:rFonts w:ascii="仿宋_GB2312" w:hAnsi="Times New Roman" w:eastAsia="仿宋_GB2312" w:cs="仿宋_GB2312"/>
      <w:kern w:val="2"/>
      <w:sz w:val="30"/>
      <w:szCs w:val="30"/>
      <w:lang w:val="en-US" w:eastAsia="zh-CN" w:bidi="ar-SA"/>
    </w:rPr>
  </w:style>
  <w:style w:type="paragraph" w:customStyle="1" w:styleId="8">
    <w:name w:val="正文 New New New New New New New New New New New New New New New New New New New New New New New New New"/>
    <w:next w:val="2"/>
    <w:qFormat/>
    <w:uiPriority w:val="0"/>
    <w:pPr>
      <w:widowControl w:val="0"/>
      <w:jc w:val="both"/>
    </w:pPr>
    <w:rPr>
      <w:rFonts w:ascii="Calibri" w:hAnsi="Calibri" w:eastAsia="宋体" w:cs="黑体"/>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2024-08-16T04:22:00Z</dcterms:created>
  <dc:creator>车走子</dc:creator>
  <cp:lastModifiedBy>车走子</cp:lastModifiedBy>
  <dcterms:modified xsi:type="dcterms:W3CDTF">2024-08-16T04:23:05Z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B881F0E8911B43E097A31896853B6AD7_11</vt:lpwstr>
  </property>
</Properties>
</file>