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936E3">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27C53ED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color w:val="auto"/>
          <w:sz w:val="44"/>
          <w:szCs w:val="44"/>
          <w:lang w:val="en-US" w:eastAsia="zh-CN"/>
        </w:rPr>
      </w:pPr>
    </w:p>
    <w:p w14:paraId="3B520177">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lang w:val="en-US" w:eastAsia="zh-CN"/>
        </w:rPr>
        <w:t>惠东县城镇建设用地</w:t>
      </w:r>
      <w:r>
        <w:rPr>
          <w:rFonts w:hint="eastAsia" w:ascii="方正小标宋简体" w:hAnsi="方正小标宋简体" w:eastAsia="方正小标宋简体" w:cs="方正小标宋简体"/>
          <w:bCs/>
          <w:color w:val="000000"/>
          <w:sz w:val="44"/>
          <w:szCs w:val="44"/>
          <w:lang w:eastAsia="zh-CN"/>
        </w:rPr>
        <w:t>（</w:t>
      </w:r>
      <w:r>
        <w:rPr>
          <w:rFonts w:hint="eastAsia" w:ascii="方正小标宋简体" w:hAnsi="方正小标宋简体" w:eastAsia="方正小标宋简体" w:cs="方正小标宋简体"/>
          <w:bCs/>
          <w:color w:val="000000"/>
          <w:sz w:val="44"/>
          <w:szCs w:val="44"/>
          <w:lang w:val="en-US" w:eastAsia="zh-CN"/>
        </w:rPr>
        <w:t>白花镇联丰村</w:t>
      </w:r>
      <w:r>
        <w:rPr>
          <w:rFonts w:hint="eastAsia" w:ascii="方正小标宋简体" w:hAnsi="方正小标宋简体" w:eastAsia="方正小标宋简体" w:cs="方正小标宋简体"/>
          <w:bCs/>
          <w:color w:val="000000"/>
          <w:sz w:val="44"/>
          <w:szCs w:val="44"/>
          <w:lang w:eastAsia="zh-CN"/>
        </w:rPr>
        <w:t>地段</w:t>
      </w:r>
      <w:r>
        <w:rPr>
          <w:rFonts w:hint="eastAsia" w:ascii="方正小标宋简体" w:hAnsi="方正小标宋简体" w:eastAsia="方正小标宋简体" w:cs="方正小标宋简体"/>
          <w:bCs/>
          <w:color w:val="000000"/>
          <w:sz w:val="44"/>
          <w:szCs w:val="44"/>
          <w:lang w:val="en-US" w:eastAsia="zh-CN"/>
        </w:rPr>
        <w:t>246.1185</w:t>
      </w:r>
      <w:r>
        <w:rPr>
          <w:rFonts w:hint="eastAsia" w:ascii="方正小标宋简体" w:hAnsi="方正小标宋简体" w:eastAsia="方正小标宋简体" w:cs="方正小标宋简体"/>
          <w:bCs/>
          <w:color w:val="000000"/>
          <w:sz w:val="44"/>
          <w:szCs w:val="44"/>
          <w:lang w:eastAsia="zh-CN"/>
        </w:rPr>
        <w:t>亩）项目</w:t>
      </w:r>
      <w:r>
        <w:rPr>
          <w:rFonts w:hint="eastAsia" w:ascii="方正小标宋简体" w:hAnsi="方正小标宋简体" w:eastAsia="方正小标宋简体" w:cs="方正小标宋简体"/>
          <w:bCs/>
          <w:color w:val="000000"/>
          <w:sz w:val="44"/>
          <w:szCs w:val="44"/>
        </w:rPr>
        <w:t>征地补偿安置方案</w:t>
      </w:r>
    </w:p>
    <w:p w14:paraId="04934A63">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
          <w:bCs/>
          <w:color w:val="000000"/>
          <w:sz w:val="44"/>
          <w:szCs w:val="44"/>
        </w:rPr>
      </w:pPr>
    </w:p>
    <w:p w14:paraId="22CFB82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为了公共利益的需要，依据《中华人民共和国土地管理法》，经</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rPr>
        <w:t>人民政府研究，拟征收</w:t>
      </w:r>
      <w:r>
        <w:rPr>
          <w:rFonts w:hint="eastAsia" w:ascii="仿宋" w:hAnsi="仿宋" w:eastAsia="仿宋" w:cs="仿宋"/>
          <w:bCs/>
          <w:color w:val="auto"/>
          <w:sz w:val="32"/>
          <w:szCs w:val="32"/>
          <w:lang w:eastAsia="zh-CN"/>
        </w:rPr>
        <w:t>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rPr>
        <w:t>镇</w:t>
      </w:r>
      <w:r>
        <w:rPr>
          <w:rFonts w:hint="eastAsia" w:ascii="仿宋" w:hAnsi="仿宋" w:eastAsia="仿宋" w:cs="仿宋"/>
          <w:bCs/>
          <w:color w:val="auto"/>
          <w:sz w:val="32"/>
          <w:szCs w:val="32"/>
          <w:lang w:val="en-US" w:eastAsia="zh-CN"/>
        </w:rPr>
        <w:t>联丰村地段246.1185</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集体所有土地。根据国家、省、市的相关法律、法规和我市的有关规定，结合土地现状调查结果，特制订本项目征地补偿安置方案如下：</w:t>
      </w:r>
    </w:p>
    <w:p w14:paraId="37F5545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0" w:name="_Toc16733"/>
      <w:r>
        <w:rPr>
          <w:rFonts w:hint="default" w:ascii="黑体" w:hAnsi="黑体" w:eastAsia="黑体" w:cs="黑体"/>
          <w:b w:val="0"/>
          <w:bCs/>
          <w:color w:val="auto"/>
          <w:sz w:val="32"/>
          <w:szCs w:val="32"/>
        </w:rPr>
        <w:t>一、</w:t>
      </w:r>
      <w:bookmarkEnd w:id="0"/>
      <w:r>
        <w:rPr>
          <w:rFonts w:hint="default" w:ascii="黑体" w:hAnsi="黑体" w:eastAsia="黑体" w:cs="黑体"/>
          <w:b w:val="0"/>
          <w:bCs/>
          <w:color w:val="auto"/>
          <w:sz w:val="32"/>
          <w:szCs w:val="32"/>
        </w:rPr>
        <w:t>征收土地的位置、范围、权属、面积和现状</w:t>
      </w:r>
    </w:p>
    <w:p w14:paraId="7568677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拟征收土地位于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lang w:eastAsia="zh-CN"/>
        </w:rPr>
        <w:t>镇</w:t>
      </w:r>
      <w:r>
        <w:rPr>
          <w:rFonts w:hint="eastAsia" w:ascii="仿宋" w:hAnsi="仿宋" w:eastAsia="仿宋" w:cs="仿宋"/>
          <w:bCs/>
          <w:color w:val="auto"/>
          <w:sz w:val="32"/>
          <w:szCs w:val="32"/>
          <w:lang w:val="en-US" w:eastAsia="zh-CN"/>
        </w:rPr>
        <w:t>联丰村地段</w:t>
      </w:r>
      <w:r>
        <w:rPr>
          <w:rFonts w:hint="eastAsia" w:ascii="仿宋" w:hAnsi="仿宋" w:eastAsia="仿宋" w:cs="仿宋"/>
          <w:bCs/>
          <w:color w:val="auto"/>
          <w:sz w:val="32"/>
          <w:szCs w:val="32"/>
        </w:rPr>
        <w:t>，属</w:t>
      </w:r>
      <w:r>
        <w:rPr>
          <w:rFonts w:hint="eastAsia" w:ascii="仿宋" w:hAnsi="仿宋" w:eastAsia="仿宋" w:cs="仿宋"/>
          <w:bCs/>
          <w:color w:val="auto"/>
          <w:sz w:val="32"/>
          <w:szCs w:val="32"/>
          <w:lang w:val="en-US" w:eastAsia="zh-CN"/>
        </w:rPr>
        <w:t>联丰村</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干布</w:t>
      </w:r>
      <w:r>
        <w:rPr>
          <w:rFonts w:hint="eastAsia" w:ascii="仿宋" w:hAnsi="仿宋" w:eastAsia="仿宋" w:cs="仿宋"/>
          <w:bCs/>
          <w:color w:val="auto"/>
          <w:sz w:val="32"/>
          <w:szCs w:val="32"/>
          <w:lang w:val="en-US" w:eastAsia="zh-CN"/>
        </w:rPr>
        <w:t>、</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禾岭</w:t>
      </w:r>
      <w:r>
        <w:rPr>
          <w:rFonts w:hint="eastAsia" w:ascii="仿宋" w:hAnsi="仿宋" w:eastAsia="仿宋" w:cs="仿宋"/>
          <w:bCs/>
          <w:color w:val="auto"/>
          <w:sz w:val="32"/>
          <w:szCs w:val="32"/>
          <w:lang w:val="en-US" w:eastAsia="zh-CN"/>
        </w:rPr>
        <w:t>、</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楼角</w:t>
      </w:r>
      <w:r>
        <w:rPr>
          <w:rFonts w:hint="eastAsia" w:ascii="仿宋" w:hAnsi="仿宋" w:eastAsia="仿宋" w:cs="仿宋"/>
          <w:bCs/>
          <w:color w:val="auto"/>
          <w:sz w:val="32"/>
          <w:szCs w:val="32"/>
          <w:lang w:val="en-US" w:eastAsia="zh-CN"/>
        </w:rPr>
        <w:t>和</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深水</w:t>
      </w:r>
      <w:r>
        <w:rPr>
          <w:rFonts w:hint="eastAsia" w:ascii="仿宋" w:hAnsi="仿宋" w:eastAsia="仿宋" w:cs="仿宋"/>
          <w:bCs/>
          <w:color w:val="auto"/>
          <w:sz w:val="32"/>
          <w:szCs w:val="32"/>
          <w:lang w:val="en-US" w:eastAsia="zh-CN"/>
        </w:rPr>
        <w:t>经济合作社</w:t>
      </w:r>
      <w:r>
        <w:rPr>
          <w:rFonts w:hint="eastAsia" w:ascii="仿宋" w:hAnsi="仿宋" w:eastAsia="仿宋" w:cs="仿宋"/>
          <w:bCs/>
          <w:color w:val="auto"/>
          <w:sz w:val="32"/>
          <w:szCs w:val="32"/>
        </w:rPr>
        <w:t>所有的集体土地，面积为</w:t>
      </w:r>
      <w:r>
        <w:rPr>
          <w:rFonts w:hint="eastAsia" w:ascii="仿宋" w:hAnsi="仿宋" w:eastAsia="仿宋" w:cs="仿宋"/>
          <w:bCs/>
          <w:color w:val="auto"/>
          <w:sz w:val="32"/>
          <w:szCs w:val="32"/>
          <w:lang w:val="en-US" w:eastAsia="zh-CN"/>
        </w:rPr>
        <w:t>246.1185</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，其</w:t>
      </w:r>
      <w:r>
        <w:rPr>
          <w:rFonts w:hint="eastAsia" w:ascii="仿宋" w:hAnsi="仿宋" w:eastAsia="仿宋" w:cs="仿宋"/>
          <w:bCs/>
          <w:color w:val="auto"/>
          <w:sz w:val="32"/>
          <w:szCs w:val="32"/>
          <w:lang w:eastAsia="zh-CN"/>
        </w:rPr>
        <w:t>中农用地</w:t>
      </w:r>
      <w:r>
        <w:rPr>
          <w:rFonts w:hint="eastAsia" w:ascii="仿宋" w:hAnsi="仿宋" w:eastAsia="仿宋" w:cs="仿宋"/>
          <w:bCs/>
          <w:color w:val="auto"/>
          <w:sz w:val="32"/>
          <w:szCs w:val="32"/>
          <w:highlight w:val="none"/>
          <w:lang w:val="en-US" w:eastAsia="zh-CN"/>
        </w:rPr>
        <w:t>85.5472</w:t>
      </w:r>
      <w:r>
        <w:rPr>
          <w:rFonts w:hint="eastAsia" w:ascii="仿宋" w:hAnsi="仿宋" w:eastAsia="仿宋" w:cs="仿宋"/>
          <w:bCs/>
          <w:color w:val="auto"/>
          <w:sz w:val="32"/>
          <w:szCs w:val="32"/>
          <w:highlight w:val="none"/>
          <w:lang w:eastAsia="zh-CN"/>
        </w:rPr>
        <w:t>亩</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eastAsia="zh-CN"/>
        </w:rPr>
        <w:t>林地</w:t>
      </w:r>
      <w:r>
        <w:rPr>
          <w:rFonts w:hint="eastAsia" w:ascii="仿宋" w:hAnsi="仿宋" w:eastAsia="仿宋" w:cs="仿宋"/>
          <w:bCs/>
          <w:color w:val="auto"/>
          <w:sz w:val="32"/>
          <w:szCs w:val="32"/>
          <w:highlight w:val="none"/>
          <w:lang w:val="en-US" w:eastAsia="zh-CN"/>
        </w:rPr>
        <w:t>160.5713</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u w:val="none"/>
          <w:lang w:val="en-US" w:eastAsia="zh-CN"/>
        </w:rPr>
        <w:t>四至范围详见附件《拟征收土地四至界线图》</w:t>
      </w:r>
      <w:r>
        <w:rPr>
          <w:rFonts w:hint="eastAsia" w:ascii="仿宋" w:hAnsi="仿宋" w:eastAsia="仿宋" w:cs="仿宋"/>
          <w:bCs/>
          <w:color w:val="auto"/>
          <w:sz w:val="32"/>
          <w:szCs w:val="32"/>
        </w:rPr>
        <w:t>。</w:t>
      </w:r>
    </w:p>
    <w:p w14:paraId="7D73183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1" w:name="_Toc31854"/>
      <w:r>
        <w:rPr>
          <w:rFonts w:hint="default" w:ascii="黑体" w:hAnsi="黑体" w:eastAsia="黑体" w:cs="黑体"/>
          <w:b w:val="0"/>
          <w:bCs/>
          <w:color w:val="auto"/>
          <w:sz w:val="32"/>
          <w:szCs w:val="32"/>
        </w:rPr>
        <w:t>二、征收目的</w:t>
      </w:r>
    </w:p>
    <w:p w14:paraId="2E8ACD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本次拟征收土地用于惠东县城镇建设用地（</w:t>
      </w:r>
      <w:r>
        <w:rPr>
          <w:rFonts w:hint="eastAsia" w:ascii="仿宋" w:hAnsi="仿宋" w:eastAsia="仿宋" w:cs="仿宋"/>
          <w:bCs/>
          <w:color w:val="auto"/>
          <w:sz w:val="32"/>
          <w:szCs w:val="32"/>
          <w:lang w:val="en-US" w:eastAsia="zh-CN"/>
        </w:rPr>
        <w:t>白花镇联丰村</w:t>
      </w:r>
      <w:r>
        <w:rPr>
          <w:rFonts w:hint="eastAsia" w:ascii="仿宋" w:hAnsi="仿宋" w:eastAsia="仿宋" w:cs="仿宋"/>
          <w:bCs/>
          <w:color w:val="auto"/>
          <w:sz w:val="32"/>
          <w:szCs w:val="32"/>
          <w:lang w:eastAsia="zh-CN"/>
        </w:rPr>
        <w:t>地段</w:t>
      </w:r>
      <w:r>
        <w:rPr>
          <w:rFonts w:hint="eastAsia" w:ascii="仿宋" w:hAnsi="仿宋" w:eastAsia="仿宋" w:cs="仿宋"/>
          <w:bCs/>
          <w:color w:val="auto"/>
          <w:sz w:val="32"/>
          <w:szCs w:val="32"/>
          <w:lang w:val="en-US" w:eastAsia="zh-CN"/>
        </w:rPr>
        <w:t>246.1185</w:t>
      </w:r>
      <w:r>
        <w:rPr>
          <w:rFonts w:hint="eastAsia" w:ascii="仿宋" w:hAnsi="仿宋" w:eastAsia="仿宋" w:cs="仿宋"/>
          <w:bCs/>
          <w:color w:val="auto"/>
          <w:sz w:val="32"/>
          <w:szCs w:val="32"/>
        </w:rPr>
        <w:t>亩）项目建设。</w:t>
      </w:r>
    </w:p>
    <w:p w14:paraId="49A99429">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三、</w:t>
      </w:r>
      <w:bookmarkEnd w:id="1"/>
      <w:r>
        <w:rPr>
          <w:rFonts w:hint="default" w:ascii="黑体" w:hAnsi="黑体" w:eastAsia="黑体" w:cs="黑体"/>
          <w:b w:val="0"/>
          <w:bCs/>
          <w:color w:val="auto"/>
          <w:sz w:val="32"/>
          <w:szCs w:val="32"/>
        </w:rPr>
        <w:t>征收土地补偿标准、安置方式和社会保障：</w:t>
      </w:r>
    </w:p>
    <w:p w14:paraId="294D8A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本次征地实行区片综合地价补偿，具体补偿标准如下：</w:t>
      </w:r>
    </w:p>
    <w:p w14:paraId="57E33EE8">
      <w:pPr>
        <w:widowControl w:val="0"/>
        <w:ind w:firstLine="640" w:firstLineChars="200"/>
        <w:jc w:val="both"/>
        <w:rPr>
          <w:rFonts w:hint="eastAsia" w:ascii="仿宋" w:hAnsi="仿宋" w:eastAsia="仿宋" w:cs="仿宋"/>
          <w:bCs/>
          <w:kern w:val="2"/>
          <w:sz w:val="32"/>
          <w:szCs w:val="32"/>
          <w:lang w:val="en-US" w:eastAsia="zh-CN" w:bidi="ar-SA"/>
        </w:rPr>
      </w:pPr>
    </w:p>
    <w:p w14:paraId="6C8307FF">
      <w:pPr>
        <w:widowControl w:val="0"/>
        <w:ind w:firstLine="640" w:firstLineChars="200"/>
        <w:jc w:val="both"/>
        <w:rPr>
          <w:rFonts w:hint="eastAsia" w:ascii="仿宋" w:hAnsi="仿宋" w:eastAsia="仿宋" w:cs="仿宋"/>
          <w:bCs/>
          <w:kern w:val="2"/>
          <w:sz w:val="32"/>
          <w:szCs w:val="32"/>
          <w:lang w:val="en-US" w:eastAsia="zh-CN" w:bidi="ar-SA"/>
        </w:rPr>
      </w:pPr>
    </w:p>
    <w:tbl>
      <w:tblPr>
        <w:tblStyle w:val="4"/>
        <w:tblpPr w:leftFromText="180" w:rightFromText="180" w:vertAnchor="text" w:horzAnchor="page" w:tblpX="1360" w:tblpY="182"/>
        <w:tblOverlap w:val="never"/>
        <w:tblW w:w="0" w:type="auto"/>
        <w:tblInd w:w="0" w:type="dxa"/>
        <w:tblLayout w:type="fixed"/>
        <w:tblCellMar>
          <w:top w:w="0" w:type="dxa"/>
          <w:left w:w="108" w:type="dxa"/>
          <w:bottom w:w="0" w:type="dxa"/>
          <w:right w:w="108" w:type="dxa"/>
        </w:tblCellMar>
      </w:tblPr>
      <w:tblGrid>
        <w:gridCol w:w="1665"/>
        <w:gridCol w:w="1455"/>
        <w:gridCol w:w="1560"/>
        <w:gridCol w:w="1710"/>
        <w:gridCol w:w="1590"/>
        <w:gridCol w:w="1545"/>
      </w:tblGrid>
      <w:tr w14:paraId="4F0D26ED">
        <w:tblPrEx>
          <w:tblCellMar>
            <w:top w:w="0" w:type="dxa"/>
            <w:left w:w="108" w:type="dxa"/>
            <w:bottom w:w="0" w:type="dxa"/>
            <w:right w:w="108" w:type="dxa"/>
          </w:tblCellMar>
        </w:tblPrEx>
        <w:trPr>
          <w:trHeight w:val="879" w:hRule="atLeast"/>
          <w:tblHeader/>
        </w:trPr>
        <w:tc>
          <w:tcPr>
            <w:tcW w:w="1665" w:type="dxa"/>
            <w:vMerge w:val="restart"/>
            <w:tcBorders>
              <w:top w:val="single" w:color="000000" w:sz="4" w:space="0"/>
              <w:left w:val="single" w:color="000000" w:sz="4" w:space="0"/>
              <w:bottom w:val="single" w:color="000000" w:sz="4" w:space="0"/>
              <w:right w:val="single" w:color="000000" w:sz="4" w:space="0"/>
            </w:tcBorders>
            <w:noWrap w:val="0"/>
            <w:vAlign w:val="center"/>
          </w:tcPr>
          <w:p w14:paraId="471BDC36">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被征地的集体经济组织</w:t>
            </w:r>
          </w:p>
        </w:tc>
        <w:tc>
          <w:tcPr>
            <w:tcW w:w="1455" w:type="dxa"/>
            <w:vMerge w:val="restart"/>
            <w:tcBorders>
              <w:top w:val="single" w:color="000000" w:sz="4" w:space="0"/>
              <w:left w:val="single" w:color="000000" w:sz="4" w:space="0"/>
              <w:bottom w:val="single" w:color="000000" w:sz="4" w:space="0"/>
              <w:right w:val="single" w:color="000000" w:sz="4" w:space="0"/>
            </w:tcBorders>
            <w:noWrap w:val="0"/>
            <w:vAlign w:val="center"/>
          </w:tcPr>
          <w:p w14:paraId="3EEA5DE0">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7D981D43">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560" w:type="dxa"/>
            <w:vMerge w:val="restart"/>
            <w:tcBorders>
              <w:top w:val="single" w:color="000000" w:sz="4" w:space="0"/>
              <w:left w:val="single" w:color="000000" w:sz="4" w:space="0"/>
              <w:bottom w:val="single" w:color="000000" w:sz="4" w:space="0"/>
              <w:right w:val="single" w:color="000000" w:sz="4" w:space="0"/>
            </w:tcBorders>
            <w:noWrap w:val="0"/>
            <w:vAlign w:val="center"/>
          </w:tcPr>
          <w:p w14:paraId="2075A1CF">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土地面积（亩）</w:t>
            </w:r>
          </w:p>
        </w:tc>
        <w:tc>
          <w:tcPr>
            <w:tcW w:w="3300" w:type="dxa"/>
            <w:gridSpan w:val="2"/>
            <w:tcBorders>
              <w:top w:val="single" w:color="000000" w:sz="4" w:space="0"/>
              <w:left w:val="single" w:color="000000" w:sz="4" w:space="0"/>
              <w:bottom w:val="single" w:color="000000" w:sz="4" w:space="0"/>
              <w:right w:val="single" w:color="auto" w:sz="4" w:space="0"/>
            </w:tcBorders>
            <w:noWrap w:val="0"/>
            <w:vAlign w:val="center"/>
          </w:tcPr>
          <w:p w14:paraId="245325C4">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21D0EC6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545" w:type="dxa"/>
            <w:vMerge w:val="restart"/>
            <w:tcBorders>
              <w:top w:val="single" w:color="auto" w:sz="4" w:space="0"/>
              <w:left w:val="single" w:color="auto" w:sz="4" w:space="0"/>
              <w:bottom w:val="single" w:color="auto" w:sz="4" w:space="0"/>
              <w:right w:val="single" w:color="auto" w:sz="4" w:space="0"/>
            </w:tcBorders>
            <w:noWrap w:val="0"/>
            <w:vAlign w:val="center"/>
          </w:tcPr>
          <w:p w14:paraId="20036EB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2C55A022">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66FDADEE">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166200D3">
        <w:tblPrEx>
          <w:tblCellMar>
            <w:top w:w="0" w:type="dxa"/>
            <w:left w:w="108" w:type="dxa"/>
            <w:bottom w:w="0" w:type="dxa"/>
            <w:right w:w="108" w:type="dxa"/>
          </w:tblCellMar>
        </w:tblPrEx>
        <w:trPr>
          <w:trHeight w:val="1760" w:hRule="atLeast"/>
          <w:tblHeader/>
        </w:trPr>
        <w:tc>
          <w:tcPr>
            <w:tcW w:w="1665" w:type="dxa"/>
            <w:vMerge w:val="continue"/>
            <w:tcBorders>
              <w:top w:val="single" w:color="000000" w:sz="4" w:space="0"/>
              <w:left w:val="single" w:color="000000" w:sz="4" w:space="0"/>
              <w:bottom w:val="single" w:color="auto" w:sz="4" w:space="0"/>
              <w:right w:val="single" w:color="000000" w:sz="4" w:space="0"/>
            </w:tcBorders>
            <w:noWrap w:val="0"/>
            <w:vAlign w:val="center"/>
          </w:tcPr>
          <w:p w14:paraId="052B4EA0">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sz w:val="30"/>
                <w:szCs w:val="30"/>
              </w:rPr>
            </w:pPr>
          </w:p>
        </w:tc>
        <w:tc>
          <w:tcPr>
            <w:tcW w:w="145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8D6470">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sz w:val="30"/>
                <w:szCs w:val="30"/>
              </w:rPr>
            </w:pPr>
          </w:p>
        </w:tc>
        <w:tc>
          <w:tcPr>
            <w:tcW w:w="15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FFFCDE">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sz w:val="30"/>
                <w:szCs w:val="30"/>
              </w:rPr>
            </w:pPr>
          </w:p>
        </w:tc>
        <w:tc>
          <w:tcPr>
            <w:tcW w:w="1710" w:type="dxa"/>
            <w:tcBorders>
              <w:top w:val="single" w:color="000000" w:sz="4" w:space="0"/>
              <w:left w:val="single" w:color="000000" w:sz="4" w:space="0"/>
              <w:bottom w:val="single" w:color="000000" w:sz="4" w:space="0"/>
              <w:right w:val="single" w:color="000000" w:sz="4" w:space="0"/>
            </w:tcBorders>
            <w:noWrap w:val="0"/>
            <w:vAlign w:val="center"/>
          </w:tcPr>
          <w:p w14:paraId="2A108BAD">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61350E8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补偿费</w:t>
            </w:r>
          </w:p>
          <w:p w14:paraId="79591968">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590" w:type="dxa"/>
            <w:tcBorders>
              <w:top w:val="single" w:color="000000" w:sz="4" w:space="0"/>
              <w:left w:val="single" w:color="000000" w:sz="4" w:space="0"/>
              <w:bottom w:val="single" w:color="000000" w:sz="4" w:space="0"/>
              <w:right w:val="single" w:color="auto" w:sz="4" w:space="0"/>
            </w:tcBorders>
            <w:noWrap w:val="0"/>
            <w:vAlign w:val="center"/>
          </w:tcPr>
          <w:p w14:paraId="3C56448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6EE7A77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补助费</w:t>
            </w:r>
          </w:p>
          <w:p w14:paraId="4CBB8E1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545" w:type="dxa"/>
            <w:vMerge w:val="continue"/>
            <w:tcBorders>
              <w:top w:val="single" w:color="auto" w:sz="4" w:space="0"/>
              <w:left w:val="single" w:color="auto" w:sz="4" w:space="0"/>
              <w:bottom w:val="single" w:color="auto" w:sz="4" w:space="0"/>
              <w:right w:val="single" w:color="auto" w:sz="4" w:space="0"/>
            </w:tcBorders>
            <w:noWrap w:val="0"/>
            <w:vAlign w:val="center"/>
          </w:tcPr>
          <w:p w14:paraId="288C5D77">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sz w:val="30"/>
                <w:szCs w:val="30"/>
              </w:rPr>
            </w:pPr>
          </w:p>
        </w:tc>
      </w:tr>
      <w:tr w14:paraId="4AE65231">
        <w:tblPrEx>
          <w:tblCellMar>
            <w:top w:w="0" w:type="dxa"/>
            <w:left w:w="108" w:type="dxa"/>
            <w:bottom w:w="0" w:type="dxa"/>
            <w:right w:w="108" w:type="dxa"/>
          </w:tblCellMar>
        </w:tblPrEx>
        <w:trPr>
          <w:trHeight w:val="1107" w:hRule="atLeast"/>
          <w:tblHeader/>
        </w:trPr>
        <w:tc>
          <w:tcPr>
            <w:tcW w:w="1665" w:type="dxa"/>
            <w:vMerge w:val="restart"/>
            <w:tcBorders>
              <w:top w:val="single" w:color="auto" w:sz="4" w:space="0"/>
              <w:left w:val="single" w:color="auto" w:sz="4" w:space="0"/>
              <w:bottom w:val="single" w:color="auto" w:sz="4" w:space="0"/>
              <w:right w:val="single" w:color="auto" w:sz="4" w:space="0"/>
            </w:tcBorders>
            <w:noWrap w:val="0"/>
            <w:vAlign w:val="center"/>
          </w:tcPr>
          <w:p w14:paraId="290060ED">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联丰村干布经济合作社</w:t>
            </w: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360BE5BA">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农用地</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5F1E0B4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29.5241</w:t>
            </w:r>
          </w:p>
        </w:tc>
        <w:tc>
          <w:tcPr>
            <w:tcW w:w="1710" w:type="dxa"/>
            <w:tcBorders>
              <w:top w:val="single" w:color="000000" w:sz="4" w:space="0"/>
              <w:left w:val="single" w:color="000000" w:sz="4" w:space="0"/>
              <w:bottom w:val="single" w:color="000000" w:sz="4" w:space="0"/>
              <w:right w:val="single" w:color="auto" w:sz="4" w:space="0"/>
            </w:tcBorders>
            <w:noWrap w:val="0"/>
            <w:vAlign w:val="center"/>
          </w:tcPr>
          <w:p w14:paraId="5674EE0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2.6</w:t>
            </w:r>
          </w:p>
        </w:tc>
        <w:tc>
          <w:tcPr>
            <w:tcW w:w="1590" w:type="dxa"/>
            <w:tcBorders>
              <w:top w:val="single" w:color="000000" w:sz="4" w:space="0"/>
              <w:left w:val="single" w:color="000000" w:sz="4" w:space="0"/>
              <w:bottom w:val="single" w:color="000000" w:sz="4" w:space="0"/>
              <w:right w:val="single" w:color="auto" w:sz="4" w:space="0"/>
            </w:tcBorders>
            <w:noWrap w:val="0"/>
            <w:vAlign w:val="center"/>
          </w:tcPr>
          <w:p w14:paraId="7E7C9921">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3.9</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567C34A0">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191.9067</w:t>
            </w:r>
          </w:p>
        </w:tc>
      </w:tr>
      <w:tr w14:paraId="3103289D">
        <w:tblPrEx>
          <w:tblCellMar>
            <w:top w:w="0" w:type="dxa"/>
            <w:left w:w="108" w:type="dxa"/>
            <w:bottom w:w="0" w:type="dxa"/>
            <w:right w:w="108" w:type="dxa"/>
          </w:tblCellMar>
        </w:tblPrEx>
        <w:trPr>
          <w:trHeight w:val="903" w:hRule="atLeast"/>
          <w:tblHeader/>
        </w:trPr>
        <w:tc>
          <w:tcPr>
            <w:tcW w:w="1665" w:type="dxa"/>
            <w:vMerge w:val="continue"/>
            <w:tcBorders>
              <w:top w:val="single" w:color="auto" w:sz="4" w:space="0"/>
              <w:left w:val="single" w:color="auto" w:sz="4" w:space="0"/>
              <w:bottom w:val="single" w:color="auto" w:sz="4" w:space="0"/>
              <w:right w:val="single" w:color="auto" w:sz="4" w:space="0"/>
            </w:tcBorders>
            <w:noWrap w:val="0"/>
            <w:vAlign w:val="center"/>
          </w:tcPr>
          <w:p w14:paraId="67909B08">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745F8512">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林地</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1ECB9822">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64.8583</w:t>
            </w:r>
          </w:p>
        </w:tc>
        <w:tc>
          <w:tcPr>
            <w:tcW w:w="1710" w:type="dxa"/>
            <w:tcBorders>
              <w:top w:val="single" w:color="000000" w:sz="4" w:space="0"/>
              <w:left w:val="single" w:color="000000" w:sz="4" w:space="0"/>
              <w:bottom w:val="single" w:color="000000" w:sz="4" w:space="0"/>
              <w:right w:val="single" w:color="auto" w:sz="4" w:space="0"/>
            </w:tcBorders>
            <w:noWrap w:val="0"/>
            <w:vAlign w:val="center"/>
          </w:tcPr>
          <w:p w14:paraId="7841249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1.43</w:t>
            </w:r>
          </w:p>
        </w:tc>
        <w:tc>
          <w:tcPr>
            <w:tcW w:w="1590" w:type="dxa"/>
            <w:tcBorders>
              <w:top w:val="single" w:color="000000" w:sz="4" w:space="0"/>
              <w:left w:val="single" w:color="000000" w:sz="4" w:space="0"/>
              <w:bottom w:val="single" w:color="000000" w:sz="4" w:space="0"/>
              <w:right w:val="single" w:color="auto" w:sz="4" w:space="0"/>
            </w:tcBorders>
            <w:noWrap w:val="0"/>
            <w:vAlign w:val="center"/>
          </w:tcPr>
          <w:p w14:paraId="4D61EFC6">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2.145</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5A28459D">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231.8684</w:t>
            </w:r>
          </w:p>
        </w:tc>
      </w:tr>
      <w:tr w14:paraId="4E21AA4F">
        <w:tblPrEx>
          <w:tblCellMar>
            <w:top w:w="0" w:type="dxa"/>
            <w:left w:w="108" w:type="dxa"/>
            <w:bottom w:w="0" w:type="dxa"/>
            <w:right w:w="108" w:type="dxa"/>
          </w:tblCellMar>
        </w:tblPrEx>
        <w:trPr>
          <w:trHeight w:val="1055" w:hRule="atLeast"/>
          <w:tblHeader/>
        </w:trPr>
        <w:tc>
          <w:tcPr>
            <w:tcW w:w="1665" w:type="dxa"/>
            <w:vMerge w:val="restart"/>
            <w:tcBorders>
              <w:top w:val="single" w:color="auto" w:sz="4" w:space="0"/>
              <w:left w:val="single" w:color="auto" w:sz="4" w:space="0"/>
              <w:bottom w:val="single" w:color="auto" w:sz="4" w:space="0"/>
              <w:right w:val="single" w:color="auto" w:sz="4" w:space="0"/>
            </w:tcBorders>
            <w:noWrap w:val="0"/>
            <w:vAlign w:val="center"/>
          </w:tcPr>
          <w:p w14:paraId="26336BCE">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联丰村禾岭经济合作社</w:t>
            </w: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1221F4EE">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农用地</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3D76B186">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51.8127</w:t>
            </w:r>
          </w:p>
        </w:tc>
        <w:tc>
          <w:tcPr>
            <w:tcW w:w="1710" w:type="dxa"/>
            <w:tcBorders>
              <w:top w:val="single" w:color="000000" w:sz="4" w:space="0"/>
              <w:left w:val="single" w:color="000000" w:sz="4" w:space="0"/>
              <w:bottom w:val="single" w:color="000000" w:sz="4" w:space="0"/>
              <w:right w:val="single" w:color="auto" w:sz="4" w:space="0"/>
            </w:tcBorders>
            <w:noWrap w:val="0"/>
            <w:vAlign w:val="center"/>
          </w:tcPr>
          <w:p w14:paraId="73B07FC7">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2.6</w:t>
            </w:r>
          </w:p>
        </w:tc>
        <w:tc>
          <w:tcPr>
            <w:tcW w:w="1590" w:type="dxa"/>
            <w:tcBorders>
              <w:top w:val="single" w:color="000000" w:sz="4" w:space="0"/>
              <w:left w:val="single" w:color="000000" w:sz="4" w:space="0"/>
              <w:bottom w:val="single" w:color="000000" w:sz="4" w:space="0"/>
              <w:right w:val="single" w:color="auto" w:sz="4" w:space="0"/>
            </w:tcBorders>
            <w:noWrap w:val="0"/>
            <w:vAlign w:val="center"/>
          </w:tcPr>
          <w:p w14:paraId="5374F6E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3.9</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6D734163">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336.7826</w:t>
            </w:r>
          </w:p>
        </w:tc>
      </w:tr>
      <w:tr w14:paraId="2A576537">
        <w:tblPrEx>
          <w:tblCellMar>
            <w:top w:w="0" w:type="dxa"/>
            <w:left w:w="108" w:type="dxa"/>
            <w:bottom w:w="0" w:type="dxa"/>
            <w:right w:w="108" w:type="dxa"/>
          </w:tblCellMar>
        </w:tblPrEx>
        <w:trPr>
          <w:trHeight w:val="955" w:hRule="atLeast"/>
          <w:tblHeader/>
        </w:trPr>
        <w:tc>
          <w:tcPr>
            <w:tcW w:w="1665" w:type="dxa"/>
            <w:vMerge w:val="continue"/>
            <w:tcBorders>
              <w:top w:val="single" w:color="auto" w:sz="4" w:space="0"/>
              <w:left w:val="single" w:color="auto" w:sz="4" w:space="0"/>
              <w:bottom w:val="single" w:color="auto" w:sz="4" w:space="0"/>
              <w:right w:val="single" w:color="auto" w:sz="4" w:space="0"/>
            </w:tcBorders>
            <w:noWrap w:val="0"/>
            <w:vAlign w:val="center"/>
          </w:tcPr>
          <w:p w14:paraId="4AD3902A">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5E2C368E">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林地</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6E9BDB0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70.395</w:t>
            </w:r>
          </w:p>
        </w:tc>
        <w:tc>
          <w:tcPr>
            <w:tcW w:w="1710" w:type="dxa"/>
            <w:tcBorders>
              <w:top w:val="single" w:color="000000" w:sz="4" w:space="0"/>
              <w:left w:val="single" w:color="000000" w:sz="4" w:space="0"/>
              <w:bottom w:val="single" w:color="000000" w:sz="4" w:space="0"/>
              <w:right w:val="single" w:color="auto" w:sz="4" w:space="0"/>
            </w:tcBorders>
            <w:noWrap w:val="0"/>
            <w:vAlign w:val="center"/>
          </w:tcPr>
          <w:p w14:paraId="5784EA7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1.43</w:t>
            </w:r>
          </w:p>
        </w:tc>
        <w:tc>
          <w:tcPr>
            <w:tcW w:w="1590" w:type="dxa"/>
            <w:tcBorders>
              <w:top w:val="single" w:color="000000" w:sz="4" w:space="0"/>
              <w:left w:val="single" w:color="000000" w:sz="4" w:space="0"/>
              <w:bottom w:val="single" w:color="000000" w:sz="4" w:space="0"/>
              <w:right w:val="single" w:color="auto" w:sz="4" w:space="0"/>
            </w:tcBorders>
            <w:noWrap w:val="0"/>
            <w:vAlign w:val="center"/>
          </w:tcPr>
          <w:p w14:paraId="746FBA18">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2.145</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518036AC">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251.6621</w:t>
            </w:r>
          </w:p>
        </w:tc>
      </w:tr>
      <w:tr w14:paraId="59589983">
        <w:tblPrEx>
          <w:tblCellMar>
            <w:top w:w="0" w:type="dxa"/>
            <w:left w:w="108" w:type="dxa"/>
            <w:bottom w:w="0" w:type="dxa"/>
            <w:right w:w="108" w:type="dxa"/>
          </w:tblCellMar>
        </w:tblPrEx>
        <w:trPr>
          <w:trHeight w:val="1104" w:hRule="atLeast"/>
          <w:tblHeader/>
        </w:trPr>
        <w:tc>
          <w:tcPr>
            <w:tcW w:w="1665" w:type="dxa"/>
            <w:vMerge w:val="restart"/>
            <w:tcBorders>
              <w:top w:val="single" w:color="auto" w:sz="4" w:space="0"/>
              <w:left w:val="single" w:color="auto" w:sz="4" w:space="0"/>
              <w:bottom w:val="single" w:color="auto" w:sz="4" w:space="0"/>
              <w:right w:val="single" w:color="auto" w:sz="4" w:space="0"/>
            </w:tcBorders>
            <w:noWrap w:val="0"/>
            <w:vAlign w:val="center"/>
          </w:tcPr>
          <w:p w14:paraId="6A9CA5CD">
            <w:pPr>
              <w:keepNext w:val="0"/>
              <w:keepLines w:val="0"/>
              <w:pageBreakBefore w:val="0"/>
              <w:widowControl/>
              <w:kinsoku/>
              <w:wordWrap/>
              <w:overflowPunct/>
              <w:topLinePunct w:val="0"/>
              <w:autoSpaceDE/>
              <w:autoSpaceDN/>
              <w:bidi w:val="0"/>
              <w:adjustRightInd/>
              <w:spacing w:line="500" w:lineRule="exact"/>
              <w:ind w:left="0" w:leftChars="0" w:firstLine="0" w:firstLineChars="0"/>
              <w:jc w:val="center"/>
              <w:rPr>
                <w:rFonts w:hint="eastAsia" w:ascii="仿宋" w:hAnsi="仿宋" w:eastAsia="仿宋" w:cs="仿宋"/>
                <w:kern w:val="2"/>
                <w:sz w:val="30"/>
                <w:szCs w:val="30"/>
                <w:lang w:val="en-US" w:eastAsia="zh-CN" w:bidi="ar-SA"/>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联丰村楼角经济合作社</w:t>
            </w: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5012B92B">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kern w:val="2"/>
                <w:sz w:val="30"/>
                <w:szCs w:val="30"/>
                <w:lang w:val="en-US" w:eastAsia="zh-CN" w:bidi="ar-SA"/>
              </w:rPr>
            </w:pPr>
            <w:r>
              <w:rPr>
                <w:rFonts w:hint="eastAsia" w:ascii="仿宋" w:hAnsi="仿宋" w:eastAsia="仿宋" w:cs="仿宋"/>
                <w:b w:val="0"/>
                <w:bCs w:val="0"/>
                <w:color w:val="000000"/>
                <w:sz w:val="30"/>
                <w:szCs w:val="30"/>
                <w:lang w:eastAsia="zh-CN"/>
              </w:rPr>
              <w:t>农用地</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2521DF3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4.2013</w:t>
            </w:r>
          </w:p>
        </w:tc>
        <w:tc>
          <w:tcPr>
            <w:tcW w:w="1710" w:type="dxa"/>
            <w:tcBorders>
              <w:top w:val="single" w:color="000000" w:sz="4" w:space="0"/>
              <w:left w:val="single" w:color="000000" w:sz="4" w:space="0"/>
              <w:bottom w:val="single" w:color="000000" w:sz="4" w:space="0"/>
              <w:right w:val="single" w:color="auto" w:sz="4" w:space="0"/>
            </w:tcBorders>
            <w:noWrap w:val="0"/>
            <w:vAlign w:val="center"/>
          </w:tcPr>
          <w:p w14:paraId="3586E43D">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2.6</w:t>
            </w:r>
          </w:p>
        </w:tc>
        <w:tc>
          <w:tcPr>
            <w:tcW w:w="1590" w:type="dxa"/>
            <w:tcBorders>
              <w:top w:val="single" w:color="000000" w:sz="4" w:space="0"/>
              <w:left w:val="single" w:color="000000" w:sz="4" w:space="0"/>
              <w:bottom w:val="single" w:color="000000" w:sz="4" w:space="0"/>
              <w:right w:val="single" w:color="auto" w:sz="4" w:space="0"/>
            </w:tcBorders>
            <w:noWrap w:val="0"/>
            <w:vAlign w:val="center"/>
          </w:tcPr>
          <w:p w14:paraId="52957DB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3.9</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6064AAC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27.3085</w:t>
            </w:r>
          </w:p>
        </w:tc>
      </w:tr>
      <w:tr w14:paraId="1C7AD64E">
        <w:tblPrEx>
          <w:tblCellMar>
            <w:top w:w="0" w:type="dxa"/>
            <w:left w:w="108" w:type="dxa"/>
            <w:bottom w:w="0" w:type="dxa"/>
            <w:right w:w="108" w:type="dxa"/>
          </w:tblCellMar>
        </w:tblPrEx>
        <w:trPr>
          <w:trHeight w:val="940" w:hRule="atLeast"/>
          <w:tblHeader/>
        </w:trPr>
        <w:tc>
          <w:tcPr>
            <w:tcW w:w="1665" w:type="dxa"/>
            <w:vMerge w:val="continue"/>
            <w:tcBorders>
              <w:top w:val="single" w:color="auto" w:sz="4" w:space="0"/>
              <w:left w:val="single" w:color="auto" w:sz="4" w:space="0"/>
              <w:bottom w:val="single" w:color="auto" w:sz="4" w:space="0"/>
              <w:right w:val="single" w:color="auto" w:sz="4" w:space="0"/>
            </w:tcBorders>
            <w:noWrap w:val="0"/>
            <w:vAlign w:val="center"/>
          </w:tcPr>
          <w:p w14:paraId="13AE657B">
            <w:pPr>
              <w:keepNext w:val="0"/>
              <w:keepLines w:val="0"/>
              <w:pageBreakBefore w:val="0"/>
              <w:widowControl/>
              <w:kinsoku/>
              <w:wordWrap/>
              <w:overflowPunct/>
              <w:topLinePunct w:val="0"/>
              <w:autoSpaceDE/>
              <w:autoSpaceDN/>
              <w:bidi w:val="0"/>
              <w:adjustRightInd/>
              <w:spacing w:line="500" w:lineRule="exact"/>
              <w:ind w:left="0" w:leftChars="0" w:firstLine="0" w:firstLineChars="0"/>
              <w:jc w:val="center"/>
              <w:rPr>
                <w:rFonts w:hint="eastAsia" w:ascii="仿宋" w:hAnsi="仿宋" w:eastAsia="仿宋" w:cs="仿宋"/>
                <w:kern w:val="2"/>
                <w:sz w:val="30"/>
                <w:szCs w:val="30"/>
                <w:lang w:val="en-US" w:eastAsia="zh-CN" w:bidi="ar-SA"/>
              </w:rPr>
            </w:pP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78D4624D">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kern w:val="2"/>
                <w:sz w:val="30"/>
                <w:szCs w:val="30"/>
                <w:lang w:val="en-US" w:eastAsia="zh-CN" w:bidi="ar-SA"/>
              </w:rPr>
            </w:pPr>
            <w:r>
              <w:rPr>
                <w:rFonts w:hint="eastAsia" w:ascii="仿宋" w:hAnsi="仿宋" w:eastAsia="仿宋" w:cs="仿宋"/>
                <w:b w:val="0"/>
                <w:bCs w:val="0"/>
                <w:color w:val="000000"/>
                <w:sz w:val="30"/>
                <w:szCs w:val="30"/>
                <w:lang w:eastAsia="zh-CN"/>
              </w:rPr>
              <w:t>林地</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0D5A62F4">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1.3591</w:t>
            </w:r>
          </w:p>
        </w:tc>
        <w:tc>
          <w:tcPr>
            <w:tcW w:w="1710" w:type="dxa"/>
            <w:tcBorders>
              <w:top w:val="single" w:color="000000" w:sz="4" w:space="0"/>
              <w:left w:val="single" w:color="000000" w:sz="4" w:space="0"/>
              <w:bottom w:val="single" w:color="000000" w:sz="4" w:space="0"/>
              <w:right w:val="single" w:color="auto" w:sz="4" w:space="0"/>
            </w:tcBorders>
            <w:noWrap w:val="0"/>
            <w:vAlign w:val="center"/>
          </w:tcPr>
          <w:p w14:paraId="117C3FD0">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1.43</w:t>
            </w:r>
          </w:p>
        </w:tc>
        <w:tc>
          <w:tcPr>
            <w:tcW w:w="1590" w:type="dxa"/>
            <w:tcBorders>
              <w:top w:val="single" w:color="000000" w:sz="4" w:space="0"/>
              <w:left w:val="single" w:color="000000" w:sz="4" w:space="0"/>
              <w:bottom w:val="single" w:color="000000" w:sz="4" w:space="0"/>
              <w:right w:val="single" w:color="auto" w:sz="4" w:space="0"/>
            </w:tcBorders>
            <w:noWrap w:val="0"/>
            <w:vAlign w:val="center"/>
          </w:tcPr>
          <w:p w14:paraId="2DD1E191">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2.145</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5328D2DD">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4.8588</w:t>
            </w:r>
          </w:p>
        </w:tc>
      </w:tr>
      <w:tr w14:paraId="30A9D9B5">
        <w:tblPrEx>
          <w:tblCellMar>
            <w:top w:w="0" w:type="dxa"/>
            <w:left w:w="108" w:type="dxa"/>
            <w:bottom w:w="0" w:type="dxa"/>
            <w:right w:w="108" w:type="dxa"/>
          </w:tblCellMar>
        </w:tblPrEx>
        <w:trPr>
          <w:trHeight w:val="1107" w:hRule="atLeast"/>
          <w:tblHeader/>
        </w:trPr>
        <w:tc>
          <w:tcPr>
            <w:tcW w:w="1665" w:type="dxa"/>
            <w:vMerge w:val="restart"/>
            <w:tcBorders>
              <w:top w:val="single" w:color="auto" w:sz="4" w:space="0"/>
              <w:left w:val="single" w:color="auto" w:sz="4" w:space="0"/>
              <w:bottom w:val="single" w:color="auto" w:sz="4" w:space="0"/>
              <w:right w:val="single" w:color="auto" w:sz="4" w:space="0"/>
            </w:tcBorders>
            <w:noWrap w:val="0"/>
            <w:vAlign w:val="center"/>
          </w:tcPr>
          <w:p w14:paraId="42891587">
            <w:pPr>
              <w:keepNext w:val="0"/>
              <w:keepLines w:val="0"/>
              <w:pageBreakBefore w:val="0"/>
              <w:widowControl/>
              <w:kinsoku/>
              <w:wordWrap/>
              <w:overflowPunct/>
              <w:topLinePunct w:val="0"/>
              <w:autoSpaceDE/>
              <w:autoSpaceDN/>
              <w:bidi w:val="0"/>
              <w:adjustRightInd/>
              <w:spacing w:line="500" w:lineRule="exact"/>
              <w:ind w:left="0" w:leftChars="0" w:firstLine="0" w:firstLineChars="0"/>
              <w:jc w:val="center"/>
              <w:rPr>
                <w:rFonts w:hint="eastAsia" w:ascii="仿宋" w:hAnsi="仿宋" w:eastAsia="仿宋" w:cs="仿宋"/>
                <w:kern w:val="2"/>
                <w:sz w:val="30"/>
                <w:szCs w:val="30"/>
                <w:lang w:val="en-US" w:eastAsia="zh-CN" w:bidi="ar-SA"/>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联丰村深水经济合作社</w:t>
            </w: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7A9D1738">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农用地</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496DB95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0.0091</w:t>
            </w:r>
          </w:p>
        </w:tc>
        <w:tc>
          <w:tcPr>
            <w:tcW w:w="1710" w:type="dxa"/>
            <w:tcBorders>
              <w:top w:val="single" w:color="000000" w:sz="4" w:space="0"/>
              <w:left w:val="single" w:color="000000" w:sz="4" w:space="0"/>
              <w:bottom w:val="single" w:color="000000" w:sz="4" w:space="0"/>
              <w:right w:val="single" w:color="auto" w:sz="4" w:space="0"/>
            </w:tcBorders>
            <w:noWrap w:val="0"/>
            <w:vAlign w:val="center"/>
          </w:tcPr>
          <w:p w14:paraId="0727EE6A">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2.6</w:t>
            </w:r>
          </w:p>
        </w:tc>
        <w:tc>
          <w:tcPr>
            <w:tcW w:w="1590" w:type="dxa"/>
            <w:tcBorders>
              <w:top w:val="single" w:color="000000" w:sz="4" w:space="0"/>
              <w:left w:val="single" w:color="000000" w:sz="4" w:space="0"/>
              <w:bottom w:val="single" w:color="000000" w:sz="4" w:space="0"/>
              <w:right w:val="single" w:color="auto" w:sz="4" w:space="0"/>
            </w:tcBorders>
            <w:noWrap w:val="0"/>
            <w:vAlign w:val="center"/>
          </w:tcPr>
          <w:p w14:paraId="654D5C3F">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3.9</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7287DBA2">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0.0592</w:t>
            </w:r>
          </w:p>
        </w:tc>
      </w:tr>
      <w:tr w14:paraId="405065D7">
        <w:tblPrEx>
          <w:tblCellMar>
            <w:top w:w="0" w:type="dxa"/>
            <w:left w:w="108" w:type="dxa"/>
            <w:bottom w:w="0" w:type="dxa"/>
            <w:right w:w="108" w:type="dxa"/>
          </w:tblCellMar>
        </w:tblPrEx>
        <w:trPr>
          <w:trHeight w:val="1040" w:hRule="atLeast"/>
          <w:tblHeader/>
        </w:trPr>
        <w:tc>
          <w:tcPr>
            <w:tcW w:w="1665" w:type="dxa"/>
            <w:vMerge w:val="continue"/>
            <w:tcBorders>
              <w:top w:val="single" w:color="auto" w:sz="4" w:space="0"/>
              <w:left w:val="single" w:color="auto" w:sz="4" w:space="0"/>
              <w:bottom w:val="single" w:color="auto" w:sz="4" w:space="0"/>
              <w:right w:val="single" w:color="auto" w:sz="4" w:space="0"/>
            </w:tcBorders>
            <w:noWrap w:val="0"/>
            <w:vAlign w:val="center"/>
          </w:tcPr>
          <w:p w14:paraId="4BD61BC5">
            <w:pPr>
              <w:keepNext w:val="0"/>
              <w:keepLines w:val="0"/>
              <w:pageBreakBefore w:val="0"/>
              <w:widowControl/>
              <w:kinsoku/>
              <w:wordWrap/>
              <w:overflowPunct/>
              <w:topLinePunct w:val="0"/>
              <w:autoSpaceDE/>
              <w:autoSpaceDN/>
              <w:bidi w:val="0"/>
              <w:adjustRightInd/>
              <w:spacing w:line="500" w:lineRule="exact"/>
              <w:ind w:left="0" w:leftChars="0" w:firstLine="0" w:firstLineChars="0"/>
              <w:jc w:val="center"/>
              <w:rPr>
                <w:rFonts w:hint="eastAsia" w:ascii="仿宋" w:hAnsi="仿宋" w:eastAsia="仿宋" w:cs="仿宋"/>
                <w:kern w:val="2"/>
                <w:sz w:val="30"/>
                <w:szCs w:val="30"/>
                <w:lang w:val="en-US" w:eastAsia="zh-CN" w:bidi="ar-SA"/>
              </w:rPr>
            </w:pP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6D62C404">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林地</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1590F3E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23.9589</w:t>
            </w:r>
          </w:p>
        </w:tc>
        <w:tc>
          <w:tcPr>
            <w:tcW w:w="1710" w:type="dxa"/>
            <w:tcBorders>
              <w:top w:val="single" w:color="000000" w:sz="4" w:space="0"/>
              <w:left w:val="single" w:color="000000" w:sz="4" w:space="0"/>
              <w:bottom w:val="single" w:color="000000" w:sz="4" w:space="0"/>
              <w:right w:val="single" w:color="auto" w:sz="4" w:space="0"/>
            </w:tcBorders>
            <w:noWrap w:val="0"/>
            <w:vAlign w:val="center"/>
          </w:tcPr>
          <w:p w14:paraId="0958E46B">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1.43</w:t>
            </w:r>
          </w:p>
        </w:tc>
        <w:tc>
          <w:tcPr>
            <w:tcW w:w="1590" w:type="dxa"/>
            <w:tcBorders>
              <w:top w:val="single" w:color="000000" w:sz="4" w:space="0"/>
              <w:left w:val="single" w:color="000000" w:sz="4" w:space="0"/>
              <w:bottom w:val="single" w:color="000000" w:sz="4" w:space="0"/>
              <w:right w:val="single" w:color="auto" w:sz="4" w:space="0"/>
            </w:tcBorders>
            <w:noWrap w:val="0"/>
            <w:vAlign w:val="center"/>
          </w:tcPr>
          <w:p w14:paraId="2C6E59C1">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2.145</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79063C8E">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85.6531</w:t>
            </w:r>
          </w:p>
        </w:tc>
      </w:tr>
    </w:tbl>
    <w:tbl>
      <w:tblPr>
        <w:tblStyle w:val="5"/>
        <w:tblpPr w:leftFromText="180" w:rightFromText="180" w:vertAnchor="text" w:tblpX="10568" w:tblpY="-3023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tblGrid>
      <w:tr w14:paraId="437AA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27" w:type="dxa"/>
            <w:noWrap w:val="0"/>
            <w:vAlign w:val="top"/>
          </w:tcPr>
          <w:p w14:paraId="14F8F9B7">
            <w:pPr>
              <w:widowControl w:val="0"/>
              <w:ind w:firstLine="480" w:firstLineChars="200"/>
              <w:jc w:val="both"/>
              <w:rPr>
                <w:rFonts w:ascii="Times New Roman" w:hAnsi="Times New Roman" w:eastAsia="宋体" w:cs="Times New Roman"/>
                <w:kern w:val="2"/>
                <w:sz w:val="24"/>
                <w:szCs w:val="24"/>
                <w:vertAlign w:val="baseline"/>
                <w:lang w:val="en-US" w:eastAsia="zh-CN" w:bidi="ar-SA"/>
              </w:rPr>
            </w:pPr>
          </w:p>
        </w:tc>
      </w:tr>
    </w:tbl>
    <w:p w14:paraId="45609C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（二）住宅、其他地上附着物和青苗补偿费按《惠州市人民政府关于印发&lt;惠州市集体土地征收与补偿办法&gt;的通知》（惠府〔2021〕27号）规定的标准进行核算。</w:t>
      </w:r>
    </w:p>
    <w:p w14:paraId="5FC581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被征地农民按广东省人力资源和社会保障厅有关规定纳入相应的养老等社会保障体系。</w:t>
      </w:r>
    </w:p>
    <w:p w14:paraId="0184F8B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（四）留用地安置按国家、省的有关规定执行。</w:t>
      </w:r>
    </w:p>
    <w:p w14:paraId="6115C88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四、征地补偿安置费用</w:t>
      </w:r>
    </w:p>
    <w:p w14:paraId="774698C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征地补偿总费用2325.8192元，其中：征地补偿费用1130.0994万元（含土地补偿费和安置补助费）、青苗及地上附着物补偿费用793.2422万元、社保费用402.4776万元。</w:t>
      </w:r>
    </w:p>
    <w:p w14:paraId="6AF5D92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五、征地补偿费用支付对象、支付方式和时间</w:t>
      </w:r>
    </w:p>
    <w:p w14:paraId="168D38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补偿安置费用支付给被征地的农村集体经济组织。青苗补偿费、附着物补偿费支付给所有权人。</w:t>
      </w:r>
    </w:p>
    <w:p w14:paraId="1266E8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二</w:t>
      </w:r>
      <w:r>
        <w:rPr>
          <w:rFonts w:hint="eastAsia" w:ascii="仿宋" w:hAnsi="仿宋" w:eastAsia="仿宋" w:cs="仿宋"/>
          <w:bCs/>
          <w:sz w:val="32"/>
          <w:szCs w:val="32"/>
          <w:lang w:eastAsia="zh-CN"/>
        </w:rPr>
        <w:t>）</w:t>
      </w:r>
      <w:r>
        <w:rPr>
          <w:rFonts w:hint="eastAsia" w:ascii="仿宋" w:hAnsi="仿宋" w:eastAsia="仿宋" w:cs="仿宋"/>
          <w:bCs/>
          <w:sz w:val="32"/>
          <w:szCs w:val="32"/>
        </w:rPr>
        <w:t>支付方式为</w:t>
      </w:r>
      <w:r>
        <w:rPr>
          <w:rFonts w:hint="eastAsia" w:ascii="仿宋" w:hAnsi="仿宋" w:eastAsia="仿宋" w:cs="仿宋"/>
          <w:bCs/>
          <w:sz w:val="32"/>
          <w:szCs w:val="32"/>
          <w:lang w:eastAsia="zh-CN"/>
        </w:rPr>
        <w:t>转账</w:t>
      </w:r>
      <w:r>
        <w:rPr>
          <w:rFonts w:hint="eastAsia" w:ascii="仿宋" w:hAnsi="仿宋" w:eastAsia="仿宋" w:cs="仿宋"/>
          <w:bCs/>
          <w:sz w:val="32"/>
          <w:szCs w:val="32"/>
        </w:rPr>
        <w:t>、现金。社保费用缴入财政社保专户。</w:t>
      </w:r>
    </w:p>
    <w:p w14:paraId="1C24E6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 w:cs="仿宋"/>
          <w:bCs/>
          <w:color w:val="000000"/>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补偿款兑付时间为土地征收公告期满之日起三个月内</w:t>
      </w:r>
      <w:r>
        <w:rPr>
          <w:rFonts w:hint="eastAsia" w:ascii="Times New Roman" w:hAnsi="Times New Roman" w:eastAsia="仿宋" w:cs="仿宋"/>
          <w:bCs/>
          <w:color w:val="000000"/>
          <w:sz w:val="32"/>
          <w:szCs w:val="32"/>
        </w:rPr>
        <w:t>。</w:t>
      </w:r>
    </w:p>
    <w:p w14:paraId="6563BB1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lang w:val="en-US" w:eastAsia="zh-CN"/>
        </w:rPr>
      </w:pPr>
    </w:p>
    <w:p w14:paraId="0159C19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17C7247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2C3B5E73">
      <w:pPr>
        <w:keepNext w:val="0"/>
        <w:keepLines w:val="0"/>
        <w:pageBreakBefore w:val="0"/>
        <w:widowControl w:val="0"/>
        <w:kinsoku/>
        <w:wordWrap w:val="0"/>
        <w:overflowPunct/>
        <w:topLinePunct w:val="0"/>
        <w:autoSpaceDE/>
        <w:autoSpaceDN/>
        <w:bidi w:val="0"/>
        <w:adjustRightInd/>
        <w:snapToGrid/>
        <w:spacing w:line="58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542CDE52">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right"/>
        <w:textAlignment w:val="auto"/>
        <w:rPr>
          <w:rFonts w:hint="default"/>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8</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19</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57DB9BA2">
      <w:bookmarkStart w:id="2" w:name="_GoBack"/>
      <w:bookmarkEnd w:id="2"/>
    </w:p>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A6774">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161E32">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0161E32">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25502">
    <w:pPr>
      <w:spacing w:line="439" w:lineRule="atLeast"/>
      <w:jc w:val="left"/>
      <w:rPr>
        <w:rFonts w:ascii="Times New Roman" w:hAnsi="Times New Roman"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4E2457EC"/>
    <w:rsid w:val="01FF72E3"/>
    <w:rsid w:val="0CA808BD"/>
    <w:rsid w:val="11BC6A6E"/>
    <w:rsid w:val="1C572E06"/>
    <w:rsid w:val="1DAE6F05"/>
    <w:rsid w:val="1DFF53E8"/>
    <w:rsid w:val="1F9E5906"/>
    <w:rsid w:val="241E71E1"/>
    <w:rsid w:val="28876522"/>
    <w:rsid w:val="2DB7600C"/>
    <w:rsid w:val="31A10649"/>
    <w:rsid w:val="369120C0"/>
    <w:rsid w:val="3BA50A45"/>
    <w:rsid w:val="3F291E25"/>
    <w:rsid w:val="49F946EB"/>
    <w:rsid w:val="4E2457EC"/>
    <w:rsid w:val="4F5003FB"/>
    <w:rsid w:val="535B64DB"/>
    <w:rsid w:val="6CB8708C"/>
    <w:rsid w:val="6D122F1A"/>
    <w:rsid w:val="701E34B1"/>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829</Words>
  <Characters>1046</Characters>
  <Lines>0</Lines>
  <Paragraphs>0</Paragraphs>
  <TotalTime>0</TotalTime>
  <ScaleCrop>false</ScaleCrop>
  <LinksUpToDate>false</LinksUpToDate>
  <CharactersWithSpaces>1060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2024-08-22T03:43:00Z</dcterms:created>
  <dc:creator>车走子</dc:creator>
  <cp:lastModifiedBy>车走子</cp:lastModifiedBy>
  <dcterms:modified xsi:type="dcterms:W3CDTF">2024-08-23T08:13:10Z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8C9E46200CC44C25AD61DE2F9EDE752E_11</vt:lpwstr>
  </property>
</Properties>
</file>