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F3C8F">
      <w:pPr>
        <w:spacing w:line="540" w:lineRule="exact"/>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14:paraId="6F5290B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bCs/>
          <w:sz w:val="44"/>
          <w:szCs w:val="44"/>
          <w:lang w:val="en-US" w:eastAsia="zh-CN"/>
        </w:rPr>
      </w:pPr>
    </w:p>
    <w:p w14:paraId="5CCD492E">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lang w:val="en-US" w:eastAsia="zh-CN"/>
        </w:rPr>
      </w:pPr>
      <w:bookmarkStart w:id="0" w:name="_GoBack"/>
      <w:r>
        <w:rPr>
          <w:rFonts w:hint="eastAsia" w:ascii="方正小标宋简体" w:hAnsi="方正小标宋简体" w:eastAsia="方正小标宋简体" w:cs="方正小标宋简体"/>
          <w:b w:val="0"/>
          <w:bCs w:val="0"/>
          <w:color w:val="auto"/>
          <w:sz w:val="44"/>
          <w:szCs w:val="44"/>
          <w:lang w:val="en-US" w:eastAsia="zh-CN"/>
        </w:rPr>
        <w:t>惠州市大亚湾森林公园（惠东片区）首期建设</w:t>
      </w:r>
    </w:p>
    <w:p w14:paraId="282D77EA">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黑体" w:hAnsi="黑体" w:eastAsia="黑体" w:cs="黑体"/>
          <w:b w:val="0"/>
          <w:bCs w:val="0"/>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工程项目</w:t>
      </w:r>
      <w:r>
        <w:rPr>
          <w:rFonts w:hint="eastAsia" w:ascii="方正小标宋简体" w:hAnsi="方正小标宋简体" w:eastAsia="方正小标宋简体" w:cs="方正小标宋简体"/>
          <w:b w:val="0"/>
          <w:bCs w:val="0"/>
          <w:sz w:val="44"/>
          <w:szCs w:val="44"/>
          <w:lang w:val="en-US" w:eastAsia="zh-CN"/>
        </w:rPr>
        <w:t>征地补偿安置方案</w:t>
      </w:r>
      <w:bookmarkEnd w:id="0"/>
    </w:p>
    <w:p w14:paraId="23F39B6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0" w:firstLineChars="0"/>
        <w:jc w:val="center"/>
        <w:textAlignment w:val="auto"/>
        <w:rPr>
          <w:rFonts w:hint="default" w:ascii="仿宋" w:hAnsi="仿宋" w:eastAsia="仿宋" w:cs="仿宋"/>
          <w:sz w:val="44"/>
          <w:szCs w:val="44"/>
          <w:lang w:val="en-US" w:eastAsia="zh-CN"/>
        </w:rPr>
      </w:pPr>
    </w:p>
    <w:p w14:paraId="24AE7C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为了公共利益的需要，依据《中华人民共和国土地管理法》，经惠东县人民政府研究，拟征收</w:t>
      </w:r>
      <w:r>
        <w:rPr>
          <w:rFonts w:ascii="仿宋" w:hAnsi="仿宋" w:eastAsia="仿宋" w:cs="仿宋"/>
          <w:sz w:val="32"/>
          <w:szCs w:val="32"/>
        </w:rPr>
        <w:t>拟征收</w:t>
      </w:r>
      <w:r>
        <w:rPr>
          <w:rFonts w:hint="eastAsia" w:ascii="仿宋" w:hAnsi="仿宋" w:eastAsia="仿宋" w:cs="仿宋"/>
          <w:sz w:val="32"/>
          <w:szCs w:val="32"/>
          <w:lang w:val="en-US" w:eastAsia="zh-CN"/>
        </w:rPr>
        <w:t>稔山</w:t>
      </w:r>
      <w:r>
        <w:rPr>
          <w:rFonts w:hint="eastAsia" w:ascii="仿宋" w:hAnsi="仿宋" w:eastAsia="仿宋" w:cs="仿宋"/>
          <w:sz w:val="32"/>
          <w:szCs w:val="32"/>
        </w:rPr>
        <w:t>镇</w:t>
      </w:r>
      <w:r>
        <w:rPr>
          <w:rFonts w:hint="eastAsia" w:ascii="仿宋" w:hAnsi="仿宋" w:eastAsia="仿宋" w:cs="仿宋"/>
          <w:sz w:val="32"/>
          <w:szCs w:val="32"/>
          <w:lang w:val="en-US" w:eastAsia="zh-CN"/>
        </w:rPr>
        <w:t>盐灶背村地段约24.5205</w:t>
      </w:r>
      <w:r>
        <w:rPr>
          <w:rFonts w:ascii="仿宋" w:hAnsi="仿宋" w:eastAsia="仿宋" w:cs="仿宋"/>
          <w:sz w:val="32"/>
          <w:szCs w:val="32"/>
        </w:rPr>
        <w:t>亩</w:t>
      </w:r>
      <w:r>
        <w:rPr>
          <w:rFonts w:hint="eastAsia" w:ascii="仿宋" w:hAnsi="仿宋" w:eastAsia="仿宋" w:cs="仿宋"/>
          <w:sz w:val="32"/>
          <w:szCs w:val="32"/>
          <w:lang w:eastAsia="zh-CN"/>
        </w:rPr>
        <w:t>集体土地。</w:t>
      </w:r>
      <w:r>
        <w:rPr>
          <w:rFonts w:hint="default" w:ascii="仿宋" w:hAnsi="仿宋" w:eastAsia="仿宋" w:cs="仿宋"/>
          <w:sz w:val="32"/>
          <w:szCs w:val="32"/>
          <w:lang w:val="en-US" w:eastAsia="zh-CN"/>
        </w:rPr>
        <w:t>根据国家、省、市的相关法律、法规和我市的有关规定，结合土地现状调查结果，特制订本项目征地补偿安置方案如下：</w:t>
      </w:r>
    </w:p>
    <w:p w14:paraId="2C097F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一、征收土地的位置、范围、权属、面积和现状</w:t>
      </w:r>
    </w:p>
    <w:p w14:paraId="2566DC86">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仿宋" w:hAnsi="仿宋" w:eastAsia="仿宋" w:cs="仿宋"/>
          <w:sz w:val="32"/>
          <w:szCs w:val="32"/>
        </w:rPr>
      </w:pPr>
      <w:r>
        <w:rPr>
          <w:rFonts w:ascii="仿宋" w:hAnsi="仿宋" w:eastAsia="仿宋" w:cs="仿宋"/>
          <w:sz w:val="32"/>
          <w:szCs w:val="32"/>
        </w:rPr>
        <w:t>拟征收土地位于</w:t>
      </w:r>
      <w:r>
        <w:rPr>
          <w:rFonts w:ascii="仿宋_GB2312" w:hAnsi="Times New Roman" w:eastAsia="仿宋_GB2312" w:cs="仿宋_GB2312"/>
          <w:sz w:val="32"/>
          <w:szCs w:val="32"/>
        </w:rPr>
        <w:t>稔山</w:t>
      </w:r>
      <w:r>
        <w:rPr>
          <w:rFonts w:hint="eastAsia" w:ascii="仿宋_GB2312" w:hAnsi="Times New Roman" w:eastAsia="仿宋_GB2312" w:cs="仿宋_GB2312"/>
          <w:sz w:val="32"/>
          <w:szCs w:val="32"/>
        </w:rPr>
        <w:t>镇</w:t>
      </w:r>
      <w:r>
        <w:rPr>
          <w:rFonts w:ascii="仿宋" w:hAnsi="仿宋" w:eastAsia="仿宋" w:cs="仿宋"/>
          <w:sz w:val="32"/>
          <w:szCs w:val="32"/>
        </w:rPr>
        <w:t>盐灶背村</w:t>
      </w:r>
      <w:r>
        <w:rPr>
          <w:rFonts w:hint="eastAsia" w:ascii="仿宋" w:hAnsi="仿宋" w:eastAsia="仿宋" w:cs="仿宋"/>
          <w:sz w:val="32"/>
          <w:szCs w:val="32"/>
        </w:rPr>
        <w:t>地段，属盐灶背村楼角经济合作社、下布经济合作社、沙子布经济合作社</w:t>
      </w:r>
      <w:r>
        <w:rPr>
          <w:rFonts w:hint="eastAsia" w:ascii="仿宋_GB2312" w:hAnsi="Times New Roman" w:eastAsia="仿宋_GB2312" w:cs="仿宋_GB2312"/>
          <w:sz w:val="32"/>
          <w:szCs w:val="32"/>
        </w:rPr>
        <w:t>所有的集体土地</w:t>
      </w:r>
      <w:r>
        <w:rPr>
          <w:rFonts w:ascii="仿宋" w:hAnsi="仿宋" w:eastAsia="仿宋" w:cs="仿宋"/>
          <w:sz w:val="32"/>
          <w:szCs w:val="32"/>
        </w:rPr>
        <w:t>，面积</w:t>
      </w:r>
      <w:r>
        <w:rPr>
          <w:rFonts w:hint="eastAsia" w:ascii="仿宋" w:hAnsi="仿宋" w:eastAsia="仿宋" w:cs="仿宋"/>
          <w:sz w:val="32"/>
          <w:szCs w:val="32"/>
          <w:lang w:val="en-US" w:eastAsia="zh-CN"/>
        </w:rPr>
        <w:t>24.5205亩</w:t>
      </w:r>
      <w:r>
        <w:rPr>
          <w:rFonts w:ascii="仿宋" w:hAnsi="仿宋" w:eastAsia="仿宋" w:cs="仿宋"/>
          <w:sz w:val="32"/>
          <w:szCs w:val="32"/>
        </w:rPr>
        <w:t>，</w:t>
      </w:r>
      <w:r>
        <w:rPr>
          <w:rFonts w:hint="eastAsia" w:ascii="仿宋" w:hAnsi="仿宋" w:eastAsia="仿宋" w:cs="仿宋"/>
          <w:sz w:val="32"/>
          <w:szCs w:val="32"/>
          <w:lang w:eastAsia="zh-CN"/>
        </w:rPr>
        <w:t>均为</w:t>
      </w:r>
      <w:r>
        <w:rPr>
          <w:rFonts w:ascii="仿宋" w:hAnsi="仿宋" w:eastAsia="仿宋" w:cs="仿宋"/>
          <w:sz w:val="32"/>
          <w:szCs w:val="32"/>
        </w:rPr>
        <w:t>农用地；四至范围详见《拟征收土地四至界线图》。</w:t>
      </w:r>
    </w:p>
    <w:p w14:paraId="11973A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二、征收目的</w:t>
      </w:r>
    </w:p>
    <w:p w14:paraId="482883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 w:hAnsi="仿宋" w:eastAsia="仿宋" w:cs="仿宋"/>
          <w:sz w:val="32"/>
          <w:szCs w:val="32"/>
          <w:lang w:val="en-US" w:eastAsia="zh-CN"/>
        </w:rPr>
      </w:pPr>
      <w:r>
        <w:rPr>
          <w:rFonts w:ascii="仿宋" w:hAnsi="仿宋" w:eastAsia="仿宋" w:cs="仿宋"/>
          <w:sz w:val="32"/>
          <w:szCs w:val="32"/>
        </w:rPr>
        <w:t>本次拟征收土地用于</w:t>
      </w:r>
      <w:r>
        <w:rPr>
          <w:rFonts w:hint="eastAsia" w:ascii="仿宋" w:hAnsi="仿宋" w:eastAsia="仿宋" w:cs="仿宋"/>
          <w:sz w:val="32"/>
          <w:szCs w:val="32"/>
          <w:lang w:val="en-US" w:eastAsia="zh-CN"/>
        </w:rPr>
        <w:t>惠州市大亚湾森林公园（惠东片区）首期建设工程项目</w:t>
      </w:r>
      <w:r>
        <w:rPr>
          <w:rFonts w:ascii="仿宋" w:hAnsi="仿宋" w:eastAsia="仿宋" w:cs="仿宋"/>
          <w:sz w:val="32"/>
          <w:szCs w:val="32"/>
        </w:rPr>
        <w:t>建设。</w:t>
      </w:r>
    </w:p>
    <w:p w14:paraId="46C149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三、</w:t>
      </w:r>
      <w:r>
        <w:rPr>
          <w:rFonts w:hint="default" w:ascii="黑体" w:hAnsi="黑体" w:eastAsia="黑体" w:cs="黑体"/>
          <w:b w:val="0"/>
          <w:bCs w:val="0"/>
          <w:sz w:val="32"/>
          <w:szCs w:val="32"/>
          <w:lang w:val="en-US" w:eastAsia="zh-CN"/>
        </w:rPr>
        <w:t>征收土地补偿标准、安置方式和社会保障</w:t>
      </w:r>
    </w:p>
    <w:p w14:paraId="6B1122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（一）</w:t>
      </w:r>
      <w:r>
        <w:rPr>
          <w:rFonts w:hint="default" w:ascii="仿宋" w:hAnsi="仿宋" w:eastAsia="仿宋" w:cs="仿宋"/>
          <w:sz w:val="32"/>
          <w:szCs w:val="32"/>
          <w:lang w:val="en-US" w:eastAsia="zh-CN"/>
        </w:rPr>
        <w:t>本次征地实行区片综合地价补偿，具体补偿标准如下：</w:t>
      </w:r>
    </w:p>
    <w:tbl>
      <w:tblPr>
        <w:tblStyle w:val="5"/>
        <w:tblpPr w:leftFromText="180" w:rightFromText="180" w:vertAnchor="text" w:horzAnchor="page" w:tblpX="1495" w:tblpY="18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84"/>
        <w:gridCol w:w="1582"/>
        <w:gridCol w:w="1454"/>
        <w:gridCol w:w="1395"/>
        <w:gridCol w:w="1365"/>
        <w:gridCol w:w="1530"/>
      </w:tblGrid>
      <w:tr w14:paraId="1C6A08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3" w:hRule="atLeast"/>
          <w:tblHeader/>
        </w:trPr>
        <w:tc>
          <w:tcPr>
            <w:tcW w:w="1884" w:type="dxa"/>
            <w:vMerge w:val="restart"/>
            <w:tcBorders>
              <w:tl2br w:val="nil"/>
              <w:tr2bl w:val="nil"/>
            </w:tcBorders>
            <w:noWrap w:val="0"/>
            <w:vAlign w:val="center"/>
          </w:tcPr>
          <w:p w14:paraId="1D187CC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4D76EA2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0779BBB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582" w:type="dxa"/>
            <w:vMerge w:val="restart"/>
            <w:tcBorders>
              <w:tl2br w:val="nil"/>
              <w:tr2bl w:val="nil"/>
            </w:tcBorders>
            <w:noWrap w:val="0"/>
            <w:vAlign w:val="center"/>
          </w:tcPr>
          <w:p w14:paraId="077DA34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地类名称</w:t>
            </w:r>
          </w:p>
        </w:tc>
        <w:tc>
          <w:tcPr>
            <w:tcW w:w="1454" w:type="dxa"/>
            <w:vMerge w:val="restart"/>
            <w:tcBorders>
              <w:tl2br w:val="nil"/>
              <w:tr2bl w:val="nil"/>
            </w:tcBorders>
            <w:noWrap w:val="0"/>
            <w:vAlign w:val="center"/>
          </w:tcPr>
          <w:p w14:paraId="25F06F5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62081BD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12E6BD5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2760" w:type="dxa"/>
            <w:gridSpan w:val="2"/>
            <w:tcBorders>
              <w:tl2br w:val="nil"/>
              <w:tr2bl w:val="nil"/>
            </w:tcBorders>
            <w:noWrap w:val="0"/>
            <w:vAlign w:val="center"/>
          </w:tcPr>
          <w:p w14:paraId="73E7ACB3">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color w:val="000000"/>
                <w:sz w:val="30"/>
                <w:szCs w:val="30"/>
              </w:rPr>
              <w:t>征地区片综合地价</w:t>
            </w:r>
          </w:p>
        </w:tc>
        <w:tc>
          <w:tcPr>
            <w:tcW w:w="1530" w:type="dxa"/>
            <w:vMerge w:val="restart"/>
            <w:tcBorders>
              <w:tl2br w:val="nil"/>
              <w:tr2bl w:val="nil"/>
            </w:tcBorders>
            <w:noWrap w:val="0"/>
            <w:vAlign w:val="center"/>
          </w:tcPr>
          <w:p w14:paraId="2920876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征地</w:t>
            </w:r>
          </w:p>
          <w:p w14:paraId="7D5CD59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_GB2312" w:hAnsi="仿宋_GB2312" w:eastAsia="仿宋_GB2312" w:cs="仿宋_GB2312"/>
                <w:b/>
                <w:bCs/>
                <w:sz w:val="32"/>
                <w:szCs w:val="32"/>
                <w:vertAlign w:val="baseline"/>
                <w:lang w:val="en-US" w:eastAsia="zh-CN"/>
              </w:rPr>
              <w:t>补偿费（万元）</w:t>
            </w:r>
          </w:p>
        </w:tc>
      </w:tr>
      <w:tr w14:paraId="154E1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5" w:hRule="atLeast"/>
          <w:tblHeader/>
        </w:trPr>
        <w:tc>
          <w:tcPr>
            <w:tcW w:w="1884" w:type="dxa"/>
            <w:vMerge w:val="continue"/>
            <w:tcBorders>
              <w:tl2br w:val="nil"/>
              <w:tr2bl w:val="nil"/>
            </w:tcBorders>
            <w:noWrap w:val="0"/>
            <w:vAlign w:val="center"/>
          </w:tcPr>
          <w:p w14:paraId="7F6B4E3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582" w:type="dxa"/>
            <w:vMerge w:val="continue"/>
            <w:tcBorders>
              <w:tl2br w:val="nil"/>
              <w:tr2bl w:val="nil"/>
            </w:tcBorders>
            <w:noWrap w:val="0"/>
            <w:vAlign w:val="center"/>
          </w:tcPr>
          <w:p w14:paraId="523621B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454" w:type="dxa"/>
            <w:vMerge w:val="continue"/>
            <w:tcBorders>
              <w:tl2br w:val="nil"/>
              <w:tr2bl w:val="nil"/>
            </w:tcBorders>
            <w:noWrap w:val="0"/>
            <w:vAlign w:val="center"/>
          </w:tcPr>
          <w:p w14:paraId="52416FB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395" w:type="dxa"/>
            <w:tcBorders>
              <w:tl2br w:val="nil"/>
              <w:tr2bl w:val="nil"/>
            </w:tcBorders>
            <w:noWrap w:val="0"/>
            <w:vAlign w:val="center"/>
          </w:tcPr>
          <w:p w14:paraId="7924B4B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土地</w:t>
            </w:r>
          </w:p>
          <w:p w14:paraId="1D4B143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color w:val="000000"/>
                <w:sz w:val="30"/>
                <w:szCs w:val="30"/>
              </w:rPr>
              <w:t>补偿费</w:t>
            </w:r>
            <w:r>
              <w:rPr>
                <w:rFonts w:hint="eastAsia" w:ascii="仿宋" w:hAnsi="仿宋" w:eastAsia="仿宋" w:cs="仿宋"/>
                <w:b/>
                <w:bCs/>
                <w:color w:val="000000"/>
                <w:sz w:val="30"/>
                <w:szCs w:val="30"/>
                <w:lang w:val="en-US" w:eastAsia="zh-CN"/>
              </w:rPr>
              <w:t>(</w:t>
            </w:r>
            <w:r>
              <w:rPr>
                <w:rFonts w:hint="eastAsia" w:ascii="仿宋" w:hAnsi="仿宋" w:eastAsia="仿宋" w:cs="仿宋"/>
                <w:b/>
                <w:bCs/>
                <w:color w:val="000000"/>
                <w:sz w:val="30"/>
                <w:szCs w:val="30"/>
              </w:rPr>
              <w:t>万元</w:t>
            </w:r>
            <w:r>
              <w:rPr>
                <w:rFonts w:hint="eastAsia" w:ascii="仿宋" w:hAnsi="仿宋" w:eastAsia="仿宋" w:cs="仿宋"/>
                <w:b/>
                <w:bCs/>
                <w:color w:val="000000"/>
                <w:sz w:val="30"/>
                <w:szCs w:val="30"/>
                <w:lang w:val="en-US" w:eastAsia="zh-CN"/>
              </w:rPr>
              <w:t>/亩</w:t>
            </w:r>
            <w:r>
              <w:rPr>
                <w:rFonts w:hint="eastAsia" w:ascii="仿宋" w:hAnsi="仿宋" w:eastAsia="仿宋" w:cs="仿宋"/>
                <w:b/>
                <w:bCs/>
                <w:color w:val="000000"/>
                <w:sz w:val="30"/>
                <w:szCs w:val="30"/>
              </w:rPr>
              <w:t>）</w:t>
            </w:r>
          </w:p>
        </w:tc>
        <w:tc>
          <w:tcPr>
            <w:tcW w:w="1365" w:type="dxa"/>
            <w:tcBorders>
              <w:tl2br w:val="nil"/>
              <w:tr2bl w:val="nil"/>
            </w:tcBorders>
            <w:noWrap w:val="0"/>
            <w:vAlign w:val="center"/>
          </w:tcPr>
          <w:p w14:paraId="63770B6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sz w:val="30"/>
                <w:szCs w:val="30"/>
              </w:rPr>
            </w:pPr>
            <w:r>
              <w:rPr>
                <w:rFonts w:hint="eastAsia" w:ascii="仿宋" w:hAnsi="仿宋" w:eastAsia="仿宋" w:cs="仿宋"/>
                <w:b/>
                <w:bCs/>
                <w:color w:val="000000"/>
                <w:sz w:val="30"/>
                <w:szCs w:val="30"/>
              </w:rPr>
              <w:t>安置</w:t>
            </w:r>
          </w:p>
          <w:p w14:paraId="5D16C427">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ascii="Times New Roman" w:hAnsi="Times New Roman" w:eastAsia="宋体" w:cs="Times New Roman"/>
                <w:b/>
                <w:bCs/>
                <w:color w:val="000000"/>
                <w:sz w:val="30"/>
                <w:szCs w:val="30"/>
              </w:rPr>
            </w:pPr>
            <w:r>
              <w:rPr>
                <w:rFonts w:hint="eastAsia" w:ascii="仿宋" w:hAnsi="仿宋" w:eastAsia="仿宋" w:cs="仿宋"/>
                <w:b/>
                <w:bCs/>
                <w:color w:val="000000"/>
                <w:sz w:val="30"/>
                <w:szCs w:val="30"/>
              </w:rPr>
              <w:t>补助费</w:t>
            </w:r>
            <w:r>
              <w:rPr>
                <w:rFonts w:hint="eastAsia" w:ascii="仿宋" w:hAnsi="仿宋" w:eastAsia="仿宋" w:cs="仿宋"/>
                <w:b/>
                <w:bCs/>
                <w:color w:val="000000"/>
                <w:sz w:val="30"/>
                <w:szCs w:val="30"/>
                <w:lang w:val="en-US" w:eastAsia="zh-CN"/>
              </w:rPr>
              <w:t>(</w:t>
            </w:r>
            <w:r>
              <w:rPr>
                <w:rFonts w:hint="eastAsia" w:ascii="仿宋" w:hAnsi="仿宋" w:eastAsia="仿宋" w:cs="仿宋"/>
                <w:b/>
                <w:bCs/>
                <w:color w:val="000000"/>
                <w:sz w:val="30"/>
                <w:szCs w:val="30"/>
              </w:rPr>
              <w:t>万元</w:t>
            </w:r>
            <w:r>
              <w:rPr>
                <w:rFonts w:hint="eastAsia" w:ascii="仿宋" w:hAnsi="仿宋" w:eastAsia="仿宋" w:cs="仿宋"/>
                <w:b/>
                <w:bCs/>
                <w:color w:val="000000"/>
                <w:sz w:val="30"/>
                <w:szCs w:val="30"/>
                <w:lang w:val="en-US" w:eastAsia="zh-CN"/>
              </w:rPr>
              <w:t>/亩</w:t>
            </w:r>
            <w:r>
              <w:rPr>
                <w:rFonts w:hint="eastAsia" w:ascii="仿宋" w:hAnsi="仿宋" w:eastAsia="仿宋" w:cs="仿宋"/>
                <w:b/>
                <w:bCs/>
                <w:color w:val="000000"/>
                <w:sz w:val="30"/>
                <w:szCs w:val="30"/>
              </w:rPr>
              <w:t>）</w:t>
            </w:r>
          </w:p>
        </w:tc>
        <w:tc>
          <w:tcPr>
            <w:tcW w:w="1530" w:type="dxa"/>
            <w:vMerge w:val="continue"/>
            <w:tcBorders>
              <w:tl2br w:val="nil"/>
              <w:tr2bl w:val="nil"/>
            </w:tcBorders>
            <w:noWrap w:val="0"/>
            <w:vAlign w:val="center"/>
          </w:tcPr>
          <w:p w14:paraId="1427B15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74E29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0" w:hRule="atLeast"/>
        </w:trPr>
        <w:tc>
          <w:tcPr>
            <w:tcW w:w="1884" w:type="dxa"/>
            <w:tcBorders>
              <w:tl2br w:val="nil"/>
              <w:tr2bl w:val="nil"/>
            </w:tcBorders>
            <w:noWrap w:val="0"/>
            <w:vAlign w:val="center"/>
          </w:tcPr>
          <w:p w14:paraId="4583F3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0" w:lineRule="atLeast"/>
              <w:ind w:left="0" w:leftChars="0" w:right="0" w:rightChars="0" w:firstLine="0" w:firstLineChars="0"/>
              <w:jc w:val="center"/>
              <w:textAlignment w:val="auto"/>
              <w:outlineLvl w:val="9"/>
              <w:rPr>
                <w:rFonts w:hint="eastAsia" w:ascii="仿宋" w:hAnsi="仿宋" w:eastAsia="仿宋" w:cs="仿宋"/>
                <w:b w:val="0"/>
                <w:bCs/>
                <w:color w:val="000000"/>
                <w:kern w:val="0"/>
                <w:sz w:val="30"/>
                <w:szCs w:val="30"/>
                <w:lang w:bidi="ar"/>
              </w:rPr>
            </w:pPr>
            <w:r>
              <w:rPr>
                <w:rFonts w:hint="eastAsia" w:ascii="仿宋" w:hAnsi="仿宋" w:eastAsia="仿宋" w:cs="仿宋"/>
                <w:b w:val="0"/>
                <w:bCs/>
                <w:sz w:val="30"/>
                <w:szCs w:val="30"/>
                <w:lang w:val="en-US" w:eastAsia="zh-CN"/>
              </w:rPr>
              <w:t>惠东县稔山镇盐灶背村楼角</w:t>
            </w:r>
            <w:r>
              <w:rPr>
                <w:rFonts w:hint="eastAsia" w:ascii="仿宋" w:hAnsi="仿宋" w:eastAsia="仿宋" w:cs="仿宋"/>
                <w:b w:val="0"/>
                <w:bCs/>
                <w:color w:val="000000"/>
                <w:sz w:val="30"/>
                <w:szCs w:val="30"/>
                <w:lang w:val="en-US" w:eastAsia="zh-CN"/>
              </w:rPr>
              <w:t>经济合作社</w:t>
            </w:r>
          </w:p>
        </w:tc>
        <w:tc>
          <w:tcPr>
            <w:tcW w:w="1582" w:type="dxa"/>
            <w:tcBorders>
              <w:tl2br w:val="nil"/>
              <w:tr2bl w:val="nil"/>
            </w:tcBorders>
            <w:noWrap w:val="0"/>
            <w:vAlign w:val="center"/>
          </w:tcPr>
          <w:p w14:paraId="7BD829B3">
            <w:pPr>
              <w:keepNext w:val="0"/>
              <w:keepLines w:val="0"/>
              <w:pageBreakBefore w:val="0"/>
              <w:numPr>
                <w:ilvl w:val="0"/>
                <w:numId w:val="0"/>
              </w:numPr>
              <w:kinsoku/>
              <w:overflowPunct/>
              <w:topLinePunct w:val="0"/>
              <w:autoSpaceDE/>
              <w:autoSpaceDN/>
              <w:bidi w:val="0"/>
              <w:adjustRightInd/>
              <w:snapToGrid/>
              <w:spacing w:line="540" w:lineRule="exact"/>
              <w:ind w:left="0" w:leftChars="0" w:firstLine="0" w:firstLineChars="0"/>
              <w:jc w:val="center"/>
              <w:rPr>
                <w:rFonts w:hint="eastAsia" w:ascii="仿宋" w:hAnsi="仿宋" w:eastAsia="仿宋" w:cs="仿宋"/>
                <w:b w:val="0"/>
                <w:bCs/>
                <w:color w:val="000000"/>
                <w:sz w:val="30"/>
                <w:szCs w:val="30"/>
                <w:lang w:eastAsia="zh-CN"/>
              </w:rPr>
            </w:pPr>
            <w:r>
              <w:rPr>
                <w:rFonts w:hint="eastAsia" w:ascii="仿宋" w:hAnsi="仿宋" w:eastAsia="仿宋" w:cs="仿宋"/>
                <w:b w:val="0"/>
                <w:bCs/>
                <w:color w:val="000000"/>
                <w:sz w:val="30"/>
                <w:szCs w:val="30"/>
                <w:vertAlign w:val="baseline"/>
                <w:lang w:val="en-US" w:eastAsia="zh-CN"/>
              </w:rPr>
              <w:t>农用地</w:t>
            </w:r>
          </w:p>
        </w:tc>
        <w:tc>
          <w:tcPr>
            <w:tcW w:w="1454" w:type="dxa"/>
            <w:tcBorders>
              <w:tl2br w:val="nil"/>
              <w:tr2bl w:val="nil"/>
            </w:tcBorders>
            <w:noWrap w:val="0"/>
            <w:vAlign w:val="center"/>
          </w:tcPr>
          <w:p w14:paraId="51A0EC89">
            <w:pPr>
              <w:keepNext w:val="0"/>
              <w:keepLines w:val="0"/>
              <w:pageBreakBefore w:val="0"/>
              <w:widowControl/>
              <w:suppressLineNumbers w:val="0"/>
              <w:kinsoku/>
              <w:overflowPunct/>
              <w:topLinePunct w:val="0"/>
              <w:autoSpaceDE/>
              <w:autoSpaceDN/>
              <w:bidi w:val="0"/>
              <w:adjustRightInd/>
              <w:snapToGrid/>
              <w:spacing w:line="540" w:lineRule="exact"/>
              <w:jc w:val="center"/>
              <w:textAlignment w:val="center"/>
              <w:rPr>
                <w:rFonts w:hint="eastAsia" w:ascii="仿宋" w:hAnsi="仿宋" w:eastAsia="仿宋" w:cs="仿宋"/>
                <w:b w:val="0"/>
                <w:bCs/>
                <w:color w:val="000000"/>
                <w:sz w:val="30"/>
                <w:szCs w:val="30"/>
                <w:highlight w:val="none"/>
                <w:u w:val="none"/>
                <w:lang w:val="en-US" w:eastAsia="zh-CN"/>
              </w:rPr>
            </w:pPr>
            <w:r>
              <w:rPr>
                <w:rFonts w:hint="eastAsia" w:ascii="仿宋" w:hAnsi="仿宋" w:eastAsia="仿宋" w:cs="仿宋"/>
                <w:b w:val="0"/>
                <w:bCs/>
                <w:color w:val="000000"/>
                <w:sz w:val="30"/>
                <w:szCs w:val="30"/>
                <w:highlight w:val="none"/>
                <w:u w:val="none"/>
                <w:lang w:val="en-US" w:eastAsia="zh-CN"/>
              </w:rPr>
              <w:t>12.8730</w:t>
            </w:r>
          </w:p>
        </w:tc>
        <w:tc>
          <w:tcPr>
            <w:tcW w:w="1395" w:type="dxa"/>
            <w:tcBorders>
              <w:tl2br w:val="nil"/>
              <w:tr2bl w:val="nil"/>
            </w:tcBorders>
            <w:noWrap w:val="0"/>
            <w:vAlign w:val="center"/>
          </w:tcPr>
          <w:p w14:paraId="30AAADF2">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 w:val="0"/>
                <w:bCs/>
                <w:color w:val="000000"/>
                <w:sz w:val="30"/>
                <w:szCs w:val="30"/>
                <w:highlight w:val="none"/>
                <w:u w:val="none"/>
                <w:lang w:val="en-US" w:eastAsia="zh-CN"/>
              </w:rPr>
            </w:pPr>
            <w:r>
              <w:rPr>
                <w:rFonts w:hint="eastAsia" w:ascii="仿宋" w:hAnsi="仿宋" w:eastAsia="仿宋" w:cs="仿宋"/>
                <w:b w:val="0"/>
                <w:bCs/>
                <w:color w:val="000000"/>
                <w:sz w:val="30"/>
                <w:szCs w:val="30"/>
                <w:highlight w:val="none"/>
                <w:u w:val="none"/>
                <w:lang w:val="en-US" w:eastAsia="zh-CN"/>
              </w:rPr>
              <w:t>2.6</w:t>
            </w:r>
          </w:p>
        </w:tc>
        <w:tc>
          <w:tcPr>
            <w:tcW w:w="1365" w:type="dxa"/>
            <w:tcBorders>
              <w:tl2br w:val="nil"/>
              <w:tr2bl w:val="nil"/>
            </w:tcBorders>
            <w:noWrap w:val="0"/>
            <w:vAlign w:val="center"/>
          </w:tcPr>
          <w:p w14:paraId="30BC0E73">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 w:val="0"/>
                <w:bCs/>
                <w:color w:val="000000"/>
                <w:sz w:val="30"/>
                <w:szCs w:val="30"/>
                <w:highlight w:val="none"/>
                <w:u w:val="none"/>
                <w:lang w:val="en-US" w:eastAsia="zh-CN"/>
              </w:rPr>
            </w:pPr>
            <w:r>
              <w:rPr>
                <w:rFonts w:hint="eastAsia" w:ascii="仿宋" w:hAnsi="仿宋" w:eastAsia="仿宋" w:cs="仿宋"/>
                <w:b w:val="0"/>
                <w:bCs/>
                <w:color w:val="000000"/>
                <w:sz w:val="30"/>
                <w:szCs w:val="30"/>
                <w:highlight w:val="none"/>
                <w:u w:val="none"/>
                <w:lang w:val="en-US" w:eastAsia="zh-CN"/>
              </w:rPr>
              <w:t>3.9</w:t>
            </w:r>
          </w:p>
        </w:tc>
        <w:tc>
          <w:tcPr>
            <w:tcW w:w="1530" w:type="dxa"/>
            <w:tcBorders>
              <w:tl2br w:val="nil"/>
              <w:tr2bl w:val="nil"/>
            </w:tcBorders>
            <w:noWrap w:val="0"/>
            <w:vAlign w:val="center"/>
          </w:tcPr>
          <w:p w14:paraId="6B768024">
            <w:pPr>
              <w:keepNext w:val="0"/>
              <w:keepLines w:val="0"/>
              <w:pageBreakBefore w:val="0"/>
              <w:widowControl/>
              <w:suppressLineNumbers w:val="0"/>
              <w:kinsoku/>
              <w:overflowPunct/>
              <w:topLinePunct w:val="0"/>
              <w:autoSpaceDE/>
              <w:autoSpaceDN/>
              <w:bidi w:val="0"/>
              <w:adjustRightInd/>
              <w:snapToGrid/>
              <w:spacing w:line="540" w:lineRule="exact"/>
              <w:jc w:val="center"/>
              <w:textAlignment w:val="center"/>
              <w:rPr>
                <w:rFonts w:hint="eastAsia" w:ascii="仿宋" w:hAnsi="仿宋" w:eastAsia="仿宋" w:cs="仿宋"/>
                <w:b w:val="0"/>
                <w:bCs/>
                <w:color w:val="000000"/>
                <w:kern w:val="0"/>
                <w:sz w:val="30"/>
                <w:szCs w:val="30"/>
                <w:lang w:val="en-US" w:eastAsia="zh-CN" w:bidi="ar"/>
              </w:rPr>
            </w:pPr>
            <w:r>
              <w:rPr>
                <w:rFonts w:hint="eastAsia" w:ascii="仿宋" w:hAnsi="仿宋" w:eastAsia="仿宋" w:cs="仿宋"/>
                <w:b w:val="0"/>
                <w:bCs/>
                <w:color w:val="000000"/>
                <w:kern w:val="0"/>
                <w:sz w:val="30"/>
                <w:szCs w:val="30"/>
                <w:lang w:val="en-US" w:eastAsia="zh-CN" w:bidi="ar"/>
              </w:rPr>
              <w:t>83.6745</w:t>
            </w:r>
          </w:p>
        </w:tc>
      </w:tr>
      <w:tr w14:paraId="64333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0" w:hRule="atLeast"/>
        </w:trPr>
        <w:tc>
          <w:tcPr>
            <w:tcW w:w="1884" w:type="dxa"/>
            <w:tcBorders>
              <w:tl2br w:val="nil"/>
              <w:tr2bl w:val="nil"/>
            </w:tcBorders>
            <w:noWrap w:val="0"/>
            <w:vAlign w:val="center"/>
          </w:tcPr>
          <w:p w14:paraId="3C99C2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0" w:lineRule="atLeast"/>
              <w:ind w:left="0" w:leftChars="0" w:right="0" w:rightChars="0" w:firstLine="0" w:firstLineChars="0"/>
              <w:jc w:val="center"/>
              <w:textAlignment w:val="auto"/>
              <w:outlineLvl w:val="9"/>
              <w:rPr>
                <w:rFonts w:hint="eastAsia" w:ascii="仿宋" w:hAnsi="仿宋" w:eastAsia="仿宋" w:cs="仿宋"/>
                <w:b w:val="0"/>
                <w:bCs/>
                <w:color w:val="000000"/>
                <w:sz w:val="30"/>
                <w:szCs w:val="30"/>
                <w:lang w:eastAsia="zh-CN"/>
              </w:rPr>
            </w:pPr>
            <w:r>
              <w:rPr>
                <w:rFonts w:hint="eastAsia" w:ascii="仿宋" w:hAnsi="仿宋" w:eastAsia="仿宋" w:cs="仿宋"/>
                <w:b w:val="0"/>
                <w:bCs/>
                <w:sz w:val="30"/>
                <w:szCs w:val="30"/>
                <w:lang w:val="en-US" w:eastAsia="zh-CN"/>
              </w:rPr>
              <w:t>惠东县稔山镇盐灶背村下布</w:t>
            </w:r>
            <w:r>
              <w:rPr>
                <w:rFonts w:hint="eastAsia" w:ascii="仿宋" w:hAnsi="仿宋" w:eastAsia="仿宋" w:cs="仿宋"/>
                <w:b w:val="0"/>
                <w:bCs/>
                <w:color w:val="000000"/>
                <w:sz w:val="30"/>
                <w:szCs w:val="30"/>
                <w:lang w:val="en-US" w:eastAsia="zh-CN"/>
              </w:rPr>
              <w:t>经济合作社</w:t>
            </w:r>
          </w:p>
        </w:tc>
        <w:tc>
          <w:tcPr>
            <w:tcW w:w="1582" w:type="dxa"/>
            <w:tcBorders>
              <w:tl2br w:val="nil"/>
              <w:tr2bl w:val="nil"/>
            </w:tcBorders>
            <w:noWrap w:val="0"/>
            <w:vAlign w:val="center"/>
          </w:tcPr>
          <w:p w14:paraId="7977801E">
            <w:pPr>
              <w:keepNext w:val="0"/>
              <w:keepLines w:val="0"/>
              <w:pageBreakBefore w:val="0"/>
              <w:numPr>
                <w:ilvl w:val="0"/>
                <w:numId w:val="0"/>
              </w:numPr>
              <w:kinsoku/>
              <w:overflowPunct/>
              <w:topLinePunct w:val="0"/>
              <w:autoSpaceDE/>
              <w:autoSpaceDN/>
              <w:bidi w:val="0"/>
              <w:adjustRightInd/>
              <w:snapToGrid/>
              <w:spacing w:line="540" w:lineRule="exact"/>
              <w:ind w:left="0" w:leftChars="0" w:firstLine="0" w:firstLineChars="0"/>
              <w:jc w:val="center"/>
              <w:rPr>
                <w:rFonts w:hint="eastAsia" w:ascii="仿宋" w:hAnsi="仿宋" w:eastAsia="仿宋" w:cs="仿宋"/>
                <w:b w:val="0"/>
                <w:bCs/>
                <w:color w:val="000000"/>
                <w:sz w:val="30"/>
                <w:szCs w:val="30"/>
                <w:lang w:val="en-US" w:eastAsia="zh-CN"/>
              </w:rPr>
            </w:pPr>
            <w:r>
              <w:rPr>
                <w:rFonts w:hint="eastAsia" w:ascii="仿宋" w:hAnsi="仿宋" w:eastAsia="仿宋" w:cs="仿宋"/>
                <w:b w:val="0"/>
                <w:bCs/>
                <w:color w:val="000000"/>
                <w:sz w:val="30"/>
                <w:szCs w:val="30"/>
                <w:vertAlign w:val="baseline"/>
                <w:lang w:val="en-US" w:eastAsia="zh-CN"/>
              </w:rPr>
              <w:t>农用地</w:t>
            </w:r>
          </w:p>
        </w:tc>
        <w:tc>
          <w:tcPr>
            <w:tcW w:w="1454" w:type="dxa"/>
            <w:tcBorders>
              <w:tl2br w:val="nil"/>
              <w:tr2bl w:val="nil"/>
            </w:tcBorders>
            <w:noWrap w:val="0"/>
            <w:vAlign w:val="center"/>
          </w:tcPr>
          <w:p w14:paraId="7DDDFFFC">
            <w:pPr>
              <w:keepNext w:val="0"/>
              <w:keepLines w:val="0"/>
              <w:pageBreakBefore w:val="0"/>
              <w:widowControl/>
              <w:suppressLineNumbers w:val="0"/>
              <w:kinsoku/>
              <w:overflowPunct/>
              <w:topLinePunct w:val="0"/>
              <w:autoSpaceDE/>
              <w:autoSpaceDN/>
              <w:bidi w:val="0"/>
              <w:adjustRightInd/>
              <w:snapToGrid/>
              <w:spacing w:line="540" w:lineRule="exact"/>
              <w:jc w:val="center"/>
              <w:textAlignment w:val="center"/>
              <w:rPr>
                <w:rFonts w:hint="eastAsia" w:ascii="仿宋" w:hAnsi="仿宋" w:eastAsia="仿宋" w:cs="仿宋"/>
                <w:b w:val="0"/>
                <w:bCs/>
                <w:color w:val="000000"/>
                <w:kern w:val="0"/>
                <w:sz w:val="30"/>
                <w:szCs w:val="30"/>
                <w:lang w:val="en-US" w:eastAsia="zh-CN" w:bidi="ar"/>
              </w:rPr>
            </w:pPr>
            <w:r>
              <w:rPr>
                <w:rFonts w:hint="eastAsia" w:ascii="仿宋" w:hAnsi="仿宋" w:eastAsia="仿宋" w:cs="仿宋"/>
                <w:b w:val="0"/>
                <w:bCs/>
                <w:color w:val="000000"/>
                <w:kern w:val="0"/>
                <w:sz w:val="30"/>
                <w:szCs w:val="30"/>
                <w:lang w:val="en-US" w:eastAsia="zh-CN" w:bidi="ar"/>
              </w:rPr>
              <w:t>1.3425</w:t>
            </w:r>
          </w:p>
        </w:tc>
        <w:tc>
          <w:tcPr>
            <w:tcW w:w="1395" w:type="dxa"/>
            <w:tcBorders>
              <w:tl2br w:val="nil"/>
              <w:tr2bl w:val="nil"/>
            </w:tcBorders>
            <w:noWrap w:val="0"/>
            <w:vAlign w:val="center"/>
          </w:tcPr>
          <w:p w14:paraId="7C13F668">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 w:val="0"/>
                <w:bCs/>
                <w:color w:val="000000"/>
                <w:kern w:val="2"/>
                <w:sz w:val="30"/>
                <w:szCs w:val="30"/>
                <w:highlight w:val="none"/>
                <w:u w:val="none"/>
                <w:lang w:val="en-US" w:eastAsia="zh-CN" w:bidi="ar-SA"/>
              </w:rPr>
            </w:pPr>
            <w:r>
              <w:rPr>
                <w:rFonts w:hint="eastAsia" w:ascii="仿宋" w:hAnsi="仿宋" w:eastAsia="仿宋" w:cs="仿宋"/>
                <w:b w:val="0"/>
                <w:bCs/>
                <w:color w:val="000000"/>
                <w:sz w:val="30"/>
                <w:szCs w:val="30"/>
                <w:highlight w:val="none"/>
                <w:u w:val="none"/>
                <w:lang w:val="en-US" w:eastAsia="zh-CN"/>
              </w:rPr>
              <w:t>2.6</w:t>
            </w:r>
          </w:p>
        </w:tc>
        <w:tc>
          <w:tcPr>
            <w:tcW w:w="1365" w:type="dxa"/>
            <w:tcBorders>
              <w:tl2br w:val="nil"/>
              <w:tr2bl w:val="nil"/>
            </w:tcBorders>
            <w:noWrap w:val="0"/>
            <w:vAlign w:val="center"/>
          </w:tcPr>
          <w:p w14:paraId="19BE6DE3">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 w:val="0"/>
                <w:bCs/>
                <w:color w:val="000000"/>
                <w:kern w:val="2"/>
                <w:sz w:val="30"/>
                <w:szCs w:val="30"/>
                <w:highlight w:val="none"/>
                <w:u w:val="none"/>
                <w:lang w:val="en-US" w:eastAsia="zh-CN" w:bidi="ar-SA"/>
              </w:rPr>
            </w:pPr>
            <w:r>
              <w:rPr>
                <w:rFonts w:hint="eastAsia" w:ascii="仿宋" w:hAnsi="仿宋" w:eastAsia="仿宋" w:cs="仿宋"/>
                <w:b w:val="0"/>
                <w:bCs/>
                <w:color w:val="000000"/>
                <w:sz w:val="30"/>
                <w:szCs w:val="30"/>
                <w:highlight w:val="none"/>
                <w:u w:val="none"/>
                <w:lang w:val="en-US" w:eastAsia="zh-CN"/>
              </w:rPr>
              <w:t>3.9</w:t>
            </w:r>
          </w:p>
        </w:tc>
        <w:tc>
          <w:tcPr>
            <w:tcW w:w="1530" w:type="dxa"/>
            <w:tcBorders>
              <w:tl2br w:val="nil"/>
              <w:tr2bl w:val="nil"/>
            </w:tcBorders>
            <w:noWrap w:val="0"/>
            <w:vAlign w:val="center"/>
          </w:tcPr>
          <w:p w14:paraId="1A391F61">
            <w:pPr>
              <w:keepNext w:val="0"/>
              <w:keepLines w:val="0"/>
              <w:pageBreakBefore w:val="0"/>
              <w:numPr>
                <w:ilvl w:val="0"/>
                <w:numId w:val="0"/>
              </w:numPr>
              <w:kinsoku/>
              <w:overflowPunct/>
              <w:topLinePunct w:val="0"/>
              <w:autoSpaceDE/>
              <w:autoSpaceDN/>
              <w:bidi w:val="0"/>
              <w:adjustRightInd/>
              <w:snapToGrid/>
              <w:spacing w:line="540" w:lineRule="exact"/>
              <w:ind w:left="0" w:leftChars="0" w:firstLine="0" w:firstLineChars="0"/>
              <w:jc w:val="center"/>
              <w:rPr>
                <w:rFonts w:hint="eastAsia" w:ascii="仿宋" w:hAnsi="仿宋" w:eastAsia="仿宋" w:cs="仿宋"/>
                <w:b w:val="0"/>
                <w:bCs/>
                <w:color w:val="000000"/>
                <w:kern w:val="0"/>
                <w:sz w:val="30"/>
                <w:szCs w:val="30"/>
                <w:lang w:val="en-US" w:eastAsia="zh-CN" w:bidi="ar"/>
              </w:rPr>
            </w:pPr>
            <w:r>
              <w:rPr>
                <w:rFonts w:hint="eastAsia" w:ascii="仿宋" w:hAnsi="仿宋" w:eastAsia="仿宋" w:cs="仿宋"/>
                <w:b w:val="0"/>
                <w:bCs/>
                <w:color w:val="000000"/>
                <w:kern w:val="0"/>
                <w:sz w:val="30"/>
                <w:szCs w:val="30"/>
                <w:lang w:val="en-US" w:eastAsia="zh-CN" w:bidi="ar"/>
              </w:rPr>
              <w:t>8.7263</w:t>
            </w:r>
          </w:p>
        </w:tc>
      </w:tr>
      <w:tr w14:paraId="0B8611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0" w:hRule="atLeast"/>
        </w:trPr>
        <w:tc>
          <w:tcPr>
            <w:tcW w:w="1884" w:type="dxa"/>
            <w:tcBorders>
              <w:tl2br w:val="nil"/>
              <w:tr2bl w:val="nil"/>
            </w:tcBorders>
            <w:noWrap w:val="0"/>
            <w:vAlign w:val="center"/>
          </w:tcPr>
          <w:p w14:paraId="53ECB9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0" w:lineRule="atLeast"/>
              <w:ind w:left="0" w:leftChars="0" w:right="0" w:rightChars="0" w:firstLine="0" w:firstLineChars="0"/>
              <w:jc w:val="center"/>
              <w:textAlignment w:val="auto"/>
              <w:outlineLvl w:val="9"/>
              <w:rPr>
                <w:rFonts w:hint="eastAsia" w:ascii="仿宋" w:hAnsi="仿宋" w:eastAsia="仿宋" w:cs="仿宋"/>
                <w:b w:val="0"/>
                <w:bCs/>
                <w:color w:val="000000"/>
                <w:sz w:val="30"/>
                <w:szCs w:val="30"/>
                <w:lang w:eastAsia="zh-CN"/>
              </w:rPr>
            </w:pPr>
            <w:r>
              <w:rPr>
                <w:rFonts w:hint="eastAsia" w:ascii="仿宋" w:hAnsi="仿宋" w:eastAsia="仿宋" w:cs="仿宋"/>
                <w:b w:val="0"/>
                <w:bCs/>
                <w:sz w:val="30"/>
                <w:szCs w:val="30"/>
                <w:lang w:val="en-US" w:eastAsia="zh-CN"/>
              </w:rPr>
              <w:t>惠东县稔山镇盐灶背村沙子布</w:t>
            </w:r>
            <w:r>
              <w:rPr>
                <w:rFonts w:hint="eastAsia" w:ascii="仿宋" w:hAnsi="仿宋" w:eastAsia="仿宋" w:cs="仿宋"/>
                <w:b w:val="0"/>
                <w:bCs/>
                <w:color w:val="000000"/>
                <w:sz w:val="30"/>
                <w:szCs w:val="30"/>
                <w:lang w:val="en-US" w:eastAsia="zh-CN"/>
              </w:rPr>
              <w:t>经济合作社</w:t>
            </w:r>
          </w:p>
        </w:tc>
        <w:tc>
          <w:tcPr>
            <w:tcW w:w="1582" w:type="dxa"/>
            <w:tcBorders>
              <w:tl2br w:val="nil"/>
              <w:tr2bl w:val="nil"/>
            </w:tcBorders>
            <w:noWrap w:val="0"/>
            <w:vAlign w:val="center"/>
          </w:tcPr>
          <w:p w14:paraId="0BA02893">
            <w:pPr>
              <w:keepNext w:val="0"/>
              <w:keepLines w:val="0"/>
              <w:pageBreakBefore w:val="0"/>
              <w:numPr>
                <w:ilvl w:val="0"/>
                <w:numId w:val="0"/>
              </w:numPr>
              <w:kinsoku/>
              <w:overflowPunct/>
              <w:topLinePunct w:val="0"/>
              <w:autoSpaceDE/>
              <w:autoSpaceDN/>
              <w:bidi w:val="0"/>
              <w:adjustRightInd/>
              <w:snapToGrid/>
              <w:spacing w:line="540" w:lineRule="exact"/>
              <w:ind w:left="0" w:leftChars="0" w:firstLine="0" w:firstLineChars="0"/>
              <w:jc w:val="center"/>
              <w:rPr>
                <w:rFonts w:hint="eastAsia" w:ascii="仿宋" w:hAnsi="仿宋" w:eastAsia="仿宋" w:cs="仿宋"/>
                <w:b w:val="0"/>
                <w:bCs/>
                <w:color w:val="000000"/>
                <w:sz w:val="30"/>
                <w:szCs w:val="30"/>
                <w:lang w:val="en-US" w:eastAsia="zh-CN"/>
              </w:rPr>
            </w:pPr>
            <w:r>
              <w:rPr>
                <w:rFonts w:hint="eastAsia" w:ascii="仿宋" w:hAnsi="仿宋" w:eastAsia="仿宋" w:cs="仿宋"/>
                <w:b w:val="0"/>
                <w:bCs/>
                <w:color w:val="000000"/>
                <w:sz w:val="30"/>
                <w:szCs w:val="30"/>
                <w:vertAlign w:val="baseline"/>
                <w:lang w:val="en-US" w:eastAsia="zh-CN"/>
              </w:rPr>
              <w:t>农用地</w:t>
            </w:r>
          </w:p>
        </w:tc>
        <w:tc>
          <w:tcPr>
            <w:tcW w:w="1454" w:type="dxa"/>
            <w:tcBorders>
              <w:tl2br w:val="nil"/>
              <w:tr2bl w:val="nil"/>
            </w:tcBorders>
            <w:noWrap w:val="0"/>
            <w:vAlign w:val="center"/>
          </w:tcPr>
          <w:p w14:paraId="1DBB7455">
            <w:pPr>
              <w:keepNext w:val="0"/>
              <w:keepLines w:val="0"/>
              <w:pageBreakBefore w:val="0"/>
              <w:numPr>
                <w:ilvl w:val="0"/>
                <w:numId w:val="0"/>
              </w:numPr>
              <w:kinsoku/>
              <w:overflowPunct/>
              <w:topLinePunct w:val="0"/>
              <w:autoSpaceDE/>
              <w:autoSpaceDN/>
              <w:bidi w:val="0"/>
              <w:adjustRightInd/>
              <w:snapToGrid/>
              <w:spacing w:line="540" w:lineRule="exact"/>
              <w:ind w:left="0" w:leftChars="0" w:firstLine="0" w:firstLineChars="0"/>
              <w:jc w:val="center"/>
              <w:rPr>
                <w:rFonts w:hint="eastAsia" w:ascii="仿宋" w:hAnsi="仿宋" w:eastAsia="仿宋" w:cs="仿宋"/>
                <w:b w:val="0"/>
                <w:bCs/>
                <w:color w:val="000000"/>
                <w:kern w:val="0"/>
                <w:sz w:val="30"/>
                <w:szCs w:val="30"/>
                <w:lang w:val="en-US" w:eastAsia="zh-CN" w:bidi="ar"/>
              </w:rPr>
            </w:pPr>
            <w:r>
              <w:rPr>
                <w:rFonts w:hint="eastAsia" w:ascii="仿宋" w:hAnsi="仿宋" w:eastAsia="仿宋" w:cs="仿宋"/>
                <w:b w:val="0"/>
                <w:bCs/>
                <w:color w:val="000000"/>
                <w:kern w:val="0"/>
                <w:sz w:val="30"/>
                <w:szCs w:val="30"/>
                <w:lang w:val="en-US" w:eastAsia="zh-CN" w:bidi="ar"/>
              </w:rPr>
              <w:t>10.3050</w:t>
            </w:r>
          </w:p>
        </w:tc>
        <w:tc>
          <w:tcPr>
            <w:tcW w:w="1395" w:type="dxa"/>
            <w:tcBorders>
              <w:tl2br w:val="nil"/>
              <w:tr2bl w:val="nil"/>
            </w:tcBorders>
            <w:noWrap w:val="0"/>
            <w:vAlign w:val="center"/>
          </w:tcPr>
          <w:p w14:paraId="7D158DC4">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 w:val="0"/>
                <w:bCs/>
                <w:color w:val="000000"/>
                <w:sz w:val="30"/>
                <w:szCs w:val="30"/>
                <w:highlight w:val="none"/>
                <w:u w:val="none"/>
                <w:lang w:val="en-US" w:eastAsia="zh-CN"/>
              </w:rPr>
            </w:pPr>
            <w:r>
              <w:rPr>
                <w:rFonts w:hint="eastAsia" w:ascii="仿宋" w:hAnsi="仿宋" w:eastAsia="仿宋" w:cs="仿宋"/>
                <w:b w:val="0"/>
                <w:bCs/>
                <w:color w:val="000000"/>
                <w:sz w:val="30"/>
                <w:szCs w:val="30"/>
                <w:highlight w:val="none"/>
                <w:u w:val="none"/>
                <w:lang w:val="en-US" w:eastAsia="zh-CN"/>
              </w:rPr>
              <w:t>2.6</w:t>
            </w:r>
          </w:p>
        </w:tc>
        <w:tc>
          <w:tcPr>
            <w:tcW w:w="1365" w:type="dxa"/>
            <w:tcBorders>
              <w:tl2br w:val="nil"/>
              <w:tr2bl w:val="nil"/>
            </w:tcBorders>
            <w:noWrap w:val="0"/>
            <w:vAlign w:val="center"/>
          </w:tcPr>
          <w:p w14:paraId="3E7DAD5D">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 w:val="0"/>
                <w:bCs/>
                <w:color w:val="000000"/>
                <w:sz w:val="30"/>
                <w:szCs w:val="30"/>
                <w:highlight w:val="none"/>
                <w:u w:val="none"/>
                <w:lang w:val="en-US" w:eastAsia="zh-CN"/>
              </w:rPr>
            </w:pPr>
            <w:r>
              <w:rPr>
                <w:rFonts w:hint="eastAsia" w:ascii="仿宋" w:hAnsi="仿宋" w:eastAsia="仿宋" w:cs="仿宋"/>
                <w:b w:val="0"/>
                <w:bCs/>
                <w:color w:val="000000"/>
                <w:sz w:val="30"/>
                <w:szCs w:val="30"/>
                <w:highlight w:val="none"/>
                <w:u w:val="none"/>
                <w:lang w:val="en-US" w:eastAsia="zh-CN"/>
              </w:rPr>
              <w:t>3.9</w:t>
            </w:r>
          </w:p>
        </w:tc>
        <w:tc>
          <w:tcPr>
            <w:tcW w:w="1530" w:type="dxa"/>
            <w:tcBorders>
              <w:tl2br w:val="nil"/>
              <w:tr2bl w:val="nil"/>
            </w:tcBorders>
            <w:noWrap w:val="0"/>
            <w:vAlign w:val="center"/>
          </w:tcPr>
          <w:p w14:paraId="148FC904">
            <w:pPr>
              <w:keepNext w:val="0"/>
              <w:keepLines w:val="0"/>
              <w:pageBreakBefore w:val="0"/>
              <w:numPr>
                <w:ilvl w:val="0"/>
                <w:numId w:val="0"/>
              </w:numPr>
              <w:kinsoku/>
              <w:overflowPunct/>
              <w:topLinePunct w:val="0"/>
              <w:autoSpaceDE/>
              <w:autoSpaceDN/>
              <w:bidi w:val="0"/>
              <w:adjustRightInd/>
              <w:snapToGrid/>
              <w:spacing w:line="540" w:lineRule="exact"/>
              <w:ind w:left="0" w:leftChars="0" w:firstLine="0" w:firstLineChars="0"/>
              <w:jc w:val="center"/>
              <w:rPr>
                <w:rFonts w:hint="eastAsia" w:ascii="仿宋" w:hAnsi="仿宋" w:eastAsia="仿宋" w:cs="仿宋"/>
                <w:b w:val="0"/>
                <w:bCs/>
                <w:color w:val="000000"/>
                <w:kern w:val="0"/>
                <w:sz w:val="30"/>
                <w:szCs w:val="30"/>
                <w:lang w:val="en-US" w:eastAsia="zh-CN" w:bidi="ar"/>
              </w:rPr>
            </w:pPr>
            <w:r>
              <w:rPr>
                <w:rFonts w:hint="eastAsia" w:ascii="仿宋" w:hAnsi="仿宋" w:eastAsia="仿宋" w:cs="仿宋"/>
                <w:b w:val="0"/>
                <w:bCs/>
                <w:color w:val="000000"/>
                <w:kern w:val="0"/>
                <w:sz w:val="30"/>
                <w:szCs w:val="30"/>
                <w:lang w:val="en-US" w:eastAsia="zh-CN" w:bidi="ar"/>
              </w:rPr>
              <w:t>66.9825</w:t>
            </w:r>
          </w:p>
        </w:tc>
      </w:tr>
    </w:tbl>
    <w:p w14:paraId="529567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住宅、其他地上附着物和青苗补偿费按惠州市人民政府关于印发《惠州市集体土地征收与补偿办法》的通知（惠府</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2021</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27号）规定的标准进行核算。</w:t>
      </w:r>
    </w:p>
    <w:p w14:paraId="075AEC9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（三）</w:t>
      </w:r>
      <w:r>
        <w:rPr>
          <w:rFonts w:hint="default" w:ascii="仿宋" w:hAnsi="仿宋" w:eastAsia="仿宋" w:cs="仿宋"/>
          <w:sz w:val="32"/>
          <w:szCs w:val="32"/>
          <w:lang w:val="en-US" w:eastAsia="zh-CN"/>
        </w:rPr>
        <w:t>被征地农民按广东省人力资源和社会保障厅有关规定纳入相应的养老等社会保障体系</w:t>
      </w:r>
      <w:r>
        <w:rPr>
          <w:rFonts w:hint="eastAsia" w:ascii="仿宋" w:hAnsi="仿宋" w:eastAsia="仿宋" w:cs="仿宋"/>
          <w:sz w:val="32"/>
          <w:szCs w:val="32"/>
          <w:lang w:val="en-US" w:eastAsia="zh-CN"/>
        </w:rPr>
        <w:t>。</w:t>
      </w:r>
    </w:p>
    <w:p w14:paraId="36167C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kern w:val="2"/>
          <w:sz w:val="32"/>
          <w:szCs w:val="32"/>
          <w:lang w:val="en-US" w:eastAsia="zh-CN" w:bidi="ar-SA"/>
        </w:rPr>
        <w:t>（四）</w:t>
      </w:r>
      <w:r>
        <w:rPr>
          <w:rFonts w:hint="default" w:ascii="仿宋" w:hAnsi="仿宋" w:eastAsia="仿宋" w:cs="仿宋"/>
          <w:sz w:val="32"/>
          <w:szCs w:val="32"/>
          <w:lang w:val="en-US" w:eastAsia="zh-CN"/>
        </w:rPr>
        <w:t>留用地安置按国家、省的有关规定执行。</w:t>
      </w:r>
    </w:p>
    <w:p w14:paraId="0EC431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四、</w:t>
      </w:r>
      <w:r>
        <w:rPr>
          <w:rFonts w:hint="default" w:ascii="黑体" w:hAnsi="黑体" w:eastAsia="黑体" w:cs="黑体"/>
          <w:b w:val="0"/>
          <w:bCs w:val="0"/>
          <w:sz w:val="32"/>
          <w:szCs w:val="32"/>
          <w:lang w:val="en-US" w:eastAsia="zh-CN"/>
        </w:rPr>
        <w:t>征地补偿安置费用</w:t>
      </w:r>
    </w:p>
    <w:p w14:paraId="7C4E5A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sz w:val="32"/>
          <w:szCs w:val="32"/>
          <w:lang w:val="en-US" w:eastAsia="zh-CN"/>
        </w:rPr>
      </w:pPr>
      <w:r>
        <w:rPr>
          <w:rFonts w:ascii="仿宋" w:hAnsi="仿宋" w:eastAsia="仿宋" w:cs="仿宋"/>
          <w:sz w:val="32"/>
          <w:szCs w:val="32"/>
        </w:rPr>
        <w:t>征地补偿总费用</w:t>
      </w:r>
      <w:r>
        <w:rPr>
          <w:rFonts w:hint="eastAsia" w:ascii="仿宋" w:hAnsi="仿宋" w:eastAsia="仿宋" w:cs="仿宋"/>
          <w:sz w:val="32"/>
          <w:szCs w:val="32"/>
          <w:lang w:val="en-US" w:eastAsia="zh-CN"/>
        </w:rPr>
        <w:t>199.4817</w:t>
      </w:r>
      <w:r>
        <w:rPr>
          <w:rFonts w:ascii="仿宋" w:hAnsi="仿宋" w:eastAsia="仿宋" w:cs="仿宋"/>
          <w:sz w:val="32"/>
          <w:szCs w:val="32"/>
        </w:rPr>
        <w:t>万元，其中：征地补偿费用</w:t>
      </w:r>
      <w:r>
        <w:rPr>
          <w:rFonts w:hint="eastAsia" w:ascii="仿宋" w:hAnsi="仿宋" w:eastAsia="仿宋" w:cs="仿宋"/>
          <w:sz w:val="32"/>
          <w:szCs w:val="32"/>
          <w:lang w:val="en-US" w:eastAsia="zh-CN"/>
        </w:rPr>
        <w:t>159.3833</w:t>
      </w:r>
      <w:r>
        <w:rPr>
          <w:rFonts w:ascii="仿宋" w:hAnsi="仿宋" w:eastAsia="仿宋" w:cs="仿宋"/>
          <w:sz w:val="32"/>
          <w:szCs w:val="32"/>
        </w:rPr>
        <w:t>万元（含土地补偿费和安置补助费）</w:t>
      </w:r>
      <w:r>
        <w:rPr>
          <w:rFonts w:hint="eastAsia" w:ascii="仿宋" w:hAnsi="仿宋" w:eastAsia="仿宋" w:cs="仿宋"/>
          <w:sz w:val="32"/>
          <w:szCs w:val="32"/>
        </w:rPr>
        <w:t>、</w:t>
      </w:r>
      <w:r>
        <w:rPr>
          <w:rFonts w:ascii="仿宋" w:hAnsi="仿宋" w:eastAsia="仿宋" w:cs="仿宋"/>
          <w:sz w:val="32"/>
          <w:szCs w:val="32"/>
        </w:rPr>
        <w:t>社保费用</w:t>
      </w:r>
      <w:r>
        <w:rPr>
          <w:rFonts w:hint="eastAsia" w:ascii="仿宋" w:hAnsi="仿宋" w:eastAsia="仿宋" w:cs="仿宋"/>
          <w:sz w:val="32"/>
          <w:szCs w:val="32"/>
          <w:lang w:val="en-US" w:eastAsia="zh-CN"/>
        </w:rPr>
        <w:t>40.0984</w:t>
      </w:r>
      <w:r>
        <w:rPr>
          <w:rFonts w:ascii="仿宋" w:hAnsi="仿宋" w:eastAsia="仿宋" w:cs="仿宋"/>
          <w:sz w:val="32"/>
          <w:szCs w:val="32"/>
        </w:rPr>
        <w:t>万元</w:t>
      </w:r>
      <w:r>
        <w:rPr>
          <w:rFonts w:hint="eastAsia" w:ascii="仿宋" w:hAnsi="仿宋" w:eastAsia="仿宋" w:cs="仿宋"/>
          <w:sz w:val="32"/>
          <w:szCs w:val="32"/>
        </w:rPr>
        <w:t>。</w:t>
      </w:r>
    </w:p>
    <w:p w14:paraId="5D5796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五、</w:t>
      </w:r>
      <w:r>
        <w:rPr>
          <w:rFonts w:hint="default" w:ascii="黑体" w:hAnsi="黑体" w:eastAsia="黑体" w:cs="黑体"/>
          <w:b w:val="0"/>
          <w:bCs w:val="0"/>
          <w:sz w:val="32"/>
          <w:szCs w:val="32"/>
          <w:lang w:val="en-US" w:eastAsia="zh-CN"/>
        </w:rPr>
        <w:t>征地补偿费用支付对象、支付方式和时间</w:t>
      </w:r>
    </w:p>
    <w:p w14:paraId="69F44C6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补偿安置费用支付给被征地的农村集体经济组织。青苗补偿费、附着物补偿费支付给所有权人</w:t>
      </w:r>
      <w:r>
        <w:rPr>
          <w:rFonts w:hint="eastAsia" w:ascii="仿宋" w:hAnsi="仿宋" w:eastAsia="仿宋" w:cs="仿宋"/>
          <w:sz w:val="32"/>
          <w:szCs w:val="32"/>
          <w:lang w:val="en-US" w:eastAsia="zh-CN"/>
        </w:rPr>
        <w:t>。</w:t>
      </w:r>
    </w:p>
    <w:p w14:paraId="0EFA5D7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支付方式为转账、现金。社保费用缴入财政社保专户。</w:t>
      </w:r>
    </w:p>
    <w:p w14:paraId="1419578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补偿款兑付时间为土地征收公告期满之</w:t>
      </w:r>
      <w:r>
        <w:rPr>
          <w:rFonts w:hint="eastAsia" w:ascii="仿宋" w:hAnsi="仿宋" w:eastAsia="仿宋" w:cs="仿宋"/>
          <w:sz w:val="32"/>
          <w:szCs w:val="32"/>
          <w:lang w:val="en-US" w:eastAsia="zh-CN"/>
        </w:rPr>
        <w:t>日</w:t>
      </w:r>
      <w:r>
        <w:rPr>
          <w:rFonts w:hint="default" w:ascii="仿宋" w:hAnsi="仿宋" w:eastAsia="仿宋" w:cs="仿宋"/>
          <w:sz w:val="32"/>
          <w:szCs w:val="32"/>
          <w:lang w:val="en-US" w:eastAsia="zh-CN"/>
        </w:rPr>
        <w:t>起三个月内</w:t>
      </w:r>
      <w:r>
        <w:rPr>
          <w:rFonts w:hint="eastAsia" w:ascii="仿宋" w:hAnsi="仿宋" w:eastAsia="仿宋" w:cs="仿宋"/>
          <w:sz w:val="32"/>
          <w:szCs w:val="32"/>
          <w:lang w:val="en-US" w:eastAsia="zh-CN"/>
        </w:rPr>
        <w:t>。</w:t>
      </w:r>
    </w:p>
    <w:p w14:paraId="64758869">
      <w:pPr>
        <w:pStyle w:val="2"/>
        <w:keepNext w:val="0"/>
        <w:keepLines w:val="0"/>
        <w:pageBreakBefore w:val="0"/>
        <w:widowControl w:val="0"/>
        <w:kinsoku/>
        <w:overflowPunct/>
        <w:topLinePunct w:val="0"/>
        <w:autoSpaceDE/>
        <w:autoSpaceDN/>
        <w:bidi w:val="0"/>
        <w:adjustRightInd/>
        <w:snapToGrid/>
        <w:spacing w:line="520" w:lineRule="exact"/>
        <w:ind w:firstLine="640" w:firstLineChars="200"/>
        <w:jc w:val="right"/>
        <w:textAlignment w:val="auto"/>
        <w:rPr>
          <w:rFonts w:hint="default" w:ascii="仿宋" w:hAnsi="仿宋" w:eastAsia="仿宋" w:cs="仿宋"/>
          <w:sz w:val="32"/>
          <w:szCs w:val="32"/>
          <w:lang w:val="en-US" w:eastAsia="zh-CN"/>
        </w:rPr>
      </w:pPr>
    </w:p>
    <w:p w14:paraId="5822441D">
      <w:pPr>
        <w:keepNext w:val="0"/>
        <w:keepLines w:val="0"/>
        <w:pageBreakBefore w:val="0"/>
        <w:widowControl w:val="0"/>
        <w:kinsoku/>
        <w:overflowPunct/>
        <w:topLinePunct w:val="0"/>
        <w:autoSpaceDE/>
        <w:autoSpaceDN/>
        <w:bidi w:val="0"/>
        <w:adjustRightInd/>
        <w:snapToGrid/>
        <w:spacing w:line="520" w:lineRule="exact"/>
        <w:ind w:firstLine="640" w:firstLineChars="200"/>
        <w:jc w:val="right"/>
        <w:textAlignment w:val="auto"/>
        <w:rPr>
          <w:rFonts w:hint="default" w:ascii="仿宋" w:hAnsi="仿宋" w:eastAsia="仿宋" w:cs="仿宋"/>
          <w:sz w:val="32"/>
          <w:szCs w:val="32"/>
          <w:lang w:val="en-US" w:eastAsia="zh-CN"/>
        </w:rPr>
      </w:pPr>
    </w:p>
    <w:p w14:paraId="2A606006">
      <w:pPr>
        <w:pStyle w:val="2"/>
        <w:keepNext w:val="0"/>
        <w:keepLines w:val="0"/>
        <w:pageBreakBefore w:val="0"/>
        <w:widowControl w:val="0"/>
        <w:kinsoku/>
        <w:overflowPunct/>
        <w:topLinePunct w:val="0"/>
        <w:autoSpaceDE/>
        <w:autoSpaceDN/>
        <w:bidi w:val="0"/>
        <w:adjustRightInd/>
        <w:snapToGrid/>
        <w:spacing w:line="520" w:lineRule="exact"/>
        <w:ind w:firstLine="640" w:firstLineChars="200"/>
        <w:jc w:val="right"/>
        <w:textAlignment w:val="auto"/>
        <w:rPr>
          <w:rFonts w:hint="default"/>
          <w:sz w:val="32"/>
          <w:szCs w:val="32"/>
          <w:lang w:val="en-US" w:eastAsia="zh-CN"/>
        </w:rPr>
      </w:pPr>
    </w:p>
    <w:p w14:paraId="763CFBD1">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惠东县人民政府        </w:t>
      </w:r>
    </w:p>
    <w:p w14:paraId="51CFC69C">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640" w:firstLineChars="200"/>
        <w:jc w:val="right"/>
        <w:textAlignment w:val="auto"/>
        <w:rPr>
          <w:rFonts w:ascii="Times New Roman" w:hAnsi="Times New Roman" w:eastAsia="宋体" w:cs="Times New Roman"/>
        </w:rPr>
      </w:pPr>
      <w:r>
        <w:rPr>
          <w:rFonts w:hint="eastAsia" w:ascii="仿宋" w:hAnsi="仿宋" w:eastAsia="仿宋" w:cs="仿宋"/>
          <w:sz w:val="32"/>
          <w:szCs w:val="32"/>
          <w:lang w:val="en-US" w:eastAsia="zh-CN"/>
        </w:rPr>
        <w:t xml:space="preserve">2024年8月23日        </w:t>
      </w:r>
    </w:p>
    <w:p w14:paraId="2BC25F6B">
      <w:pPr>
        <w:rPr>
          <w:rFonts w:hint="default" w:ascii="Times New Roman" w:hAnsi="Times New Roman" w:eastAsia="宋体" w:cs="Times New Roman"/>
          <w:lang w:val="en-US" w:eastAsia="zh-CN"/>
        </w:rPr>
      </w:pPr>
    </w:p>
    <w:p w14:paraId="0BD8C0BB"/>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A0A93">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DFB355">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0ADFB355">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0CA69">
    <w:pPr>
      <w:spacing w:line="439" w:lineRule="atLeast"/>
      <w:jc w:val="left"/>
      <w:rPr>
        <w:rFonts w:ascii="Times New Roman" w:hAnsi="Times New Roman" w:eastAsia="宋体"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FD26A2"/>
    <w:multiLevelType w:val="singleLevel"/>
    <w:tmpl w:val="A4FD26A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68C63CEA"/>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8C63CEA"/>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next w:val="1"/>
    <w:qFormat/>
    <w:uiPriority w:val="0"/>
    <w:pPr>
      <w:widowControl w:val="0"/>
      <w:ind w:firstLine="708" w:firstLineChars="236"/>
      <w:jc w:val="both"/>
    </w:pPr>
    <w:rPr>
      <w:rFonts w:ascii="Times New Roman" w:hAnsi="Times New Roman" w:eastAsia="宋体" w:cs="Times New Roman"/>
      <w:kern w:val="2"/>
      <w:sz w:val="30"/>
      <w:szCs w:val="30"/>
      <w:lang w:val="en-US" w:eastAsia="zh-CN" w:bidi="ar-SA"/>
    </w:rPr>
  </w:style>
  <w:style w:type="paragraph" w:styleId="3">
    <w:name w:val="Block Text"/>
    <w:uiPriority w:val="0"/>
    <w:pPr>
      <w:widowControl w:val="0"/>
      <w:spacing w:after="120" w:afterLines="0" w:afterAutospacing="0"/>
      <w:ind w:left="1440" w:leftChars="700" w:rightChars="700"/>
      <w:jc w:val="both"/>
    </w:pPr>
    <w:rPr>
      <w:rFonts w:ascii="Times New Roman" w:hAnsi="Times New Roman" w:eastAsia="宋体" w:cs="Times New Roman"/>
      <w:kern w:val="2"/>
      <w:sz w:val="21"/>
      <w:szCs w:val="24"/>
      <w:lang w:val="en-US" w:eastAsia="zh-CN" w:bidi="ar-SA"/>
    </w:rPr>
  </w:style>
  <w:style w:type="paragraph" w:styleId="4">
    <w:name w:val="Plain Text"/>
    <w:basedOn w:val="1"/>
    <w:qFormat/>
    <w:uiPriority w:val="0"/>
    <w:rPr>
      <w:rFonts w:ascii="宋体" w:hAnsi="Courier New"/>
    </w:rPr>
  </w:style>
  <w:style w:type="paragraph" w:customStyle="1" w:styleId="7">
    <w:name w:val="正文1"/>
    <w:next w:val="3"/>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customStyle="1" w:styleId="8">
    <w:name w:val="正文 New New New New New New New New New New New New New New New New New New New New New New New New New"/>
    <w:next w:val="2"/>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2024-08-30T09:44:00Z</dcterms:created>
  <dc:creator>车走子</dc:creator>
  <cp:lastModifiedBy>车走子</cp:lastModifiedBy>
  <dcterms:modified xsi:type="dcterms:W3CDTF">2024-08-30T09:44:37Z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2ECA74CEAF7F4D6185AD05983B2C15D8_11</vt:lpwstr>
  </property>
</Properties>
</file>