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ascii="方正小标宋_GBK" w:eastAsia="方正小标宋_GBK" w:cs="方正小标宋_GBK"/>
          <w:sz w:val="44"/>
          <w:szCs w:val="44"/>
          <w:lang w:val="en-US" w:eastAsia="zh-CN"/>
        </w:rPr>
      </w:pPr>
      <w:bookmarkStart w:id="0" w:name="_GoBack"/>
      <w:bookmarkEnd w:id="0"/>
      <w:r>
        <w:rPr>
          <w:rFonts w:hint="eastAsia" w:ascii="方正小标宋_GBK" w:eastAsia="方正小标宋_GBK" w:cs="方正小标宋_GBK"/>
          <w:sz w:val="44"/>
          <w:szCs w:val="44"/>
          <w:lang w:val="en-US" w:eastAsia="zh-CN"/>
        </w:rPr>
        <w:t>关于</w:t>
      </w:r>
      <w:r>
        <w:rPr>
          <w:rFonts w:hint="eastAsia" w:ascii="方正小标宋_GBK" w:eastAsia="方正小标宋_GBK" w:cs="方正小标宋_GBK"/>
          <w:sz w:val="44"/>
          <w:szCs w:val="44"/>
          <w:lang w:eastAsia="zh-CN"/>
        </w:rPr>
        <w:t>《惠州市</w:t>
      </w:r>
      <w:r>
        <w:rPr>
          <w:rFonts w:hint="eastAsia" w:ascii="方正小标宋_GBK" w:eastAsia="方正小标宋_GBK" w:cs="方正小标宋_GBK"/>
          <w:sz w:val="44"/>
          <w:szCs w:val="44"/>
          <w:lang w:val="en-US" w:eastAsia="zh-CN"/>
        </w:rPr>
        <w:t>市级国有资本经营预算管理</w:t>
      </w:r>
    </w:p>
    <w:p>
      <w:pPr>
        <w:ind w:firstLine="864" w:firstLineChars="200"/>
        <w:jc w:val="center"/>
        <w:rPr>
          <w:rFonts w:hint="eastAsia" w:ascii="方正小标宋_GBK" w:eastAsia="方正小标宋_GBK" w:cs="方正小标宋_GBK"/>
          <w:sz w:val="44"/>
          <w:szCs w:val="44"/>
          <w:lang w:val="en-US" w:eastAsia="zh-CN"/>
        </w:rPr>
      </w:pPr>
      <w:r>
        <w:rPr>
          <w:rFonts w:hint="eastAsia" w:ascii="方正小标宋_GBK" w:eastAsia="方正小标宋_GBK" w:cs="方正小标宋_GBK"/>
          <w:sz w:val="44"/>
          <w:szCs w:val="44"/>
          <w:lang w:val="en-US" w:eastAsia="zh-CN"/>
        </w:rPr>
        <w:t>暂行办法</w:t>
      </w:r>
      <w:r>
        <w:rPr>
          <w:rFonts w:hint="eastAsia" w:ascii="方正小标宋_GBK" w:eastAsia="方正小标宋_GBK" w:cs="方正小标宋_GBK"/>
          <w:sz w:val="44"/>
          <w:szCs w:val="44"/>
          <w:lang w:eastAsia="zh-CN"/>
        </w:rPr>
        <w:t>》</w:t>
      </w:r>
      <w:r>
        <w:rPr>
          <w:rFonts w:hint="eastAsia" w:ascii="方正小标宋_GBK" w:eastAsia="方正小标宋_GBK" w:cs="方正小标宋_GBK"/>
          <w:sz w:val="44"/>
          <w:szCs w:val="44"/>
          <w:lang w:val="en-US" w:eastAsia="zh-CN"/>
        </w:rPr>
        <w:t>的政策解读</w:t>
      </w:r>
    </w:p>
    <w:p>
      <w:pPr>
        <w:ind w:firstLine="624" w:firstLineChars="200"/>
        <w:jc w:val="both"/>
        <w:rPr>
          <w:rFonts w:hint="eastAsia" w:ascii="黑体" w:eastAsia="黑体" w:cs="黑体"/>
          <w:b w:val="0"/>
          <w:bCs w:val="0"/>
          <w:color w:val="000000"/>
          <w:kern w:val="2"/>
          <w:sz w:val="32"/>
          <w:szCs w:val="30"/>
          <w:lang w:val="en-US" w:eastAsia="zh-CN"/>
        </w:rPr>
      </w:pPr>
      <w:r>
        <w:rPr>
          <w:rFonts w:hint="eastAsia" w:ascii="黑体" w:eastAsia="黑体" w:cs="黑体"/>
          <w:b w:val="0"/>
          <w:bCs w:val="0"/>
          <w:color w:val="000000"/>
          <w:kern w:val="2"/>
          <w:sz w:val="32"/>
          <w:szCs w:val="30"/>
          <w:lang w:val="en-US" w:eastAsia="zh-CN"/>
        </w:rPr>
        <w:t>一、出台办法的背景</w:t>
      </w:r>
    </w:p>
    <w:p>
      <w:pPr>
        <w:ind w:firstLine="624" w:firstLineChars="200"/>
        <w:jc w:val="both"/>
        <w:rPr>
          <w:rFonts w:hint="eastAsia" w:ascii="仿宋" w:eastAsia="仿宋" w:cs="仿宋"/>
          <w:sz w:val="32"/>
          <w:szCs w:val="32"/>
          <w:lang w:val="en-US" w:eastAsia="zh-CN"/>
        </w:rPr>
      </w:pPr>
      <w:r>
        <w:rPr>
          <w:rFonts w:hint="eastAsia" w:ascii="仿宋_GB2312" w:eastAsia="仿宋_GB2312" w:cs="仿宋_GB2312"/>
          <w:color w:val="000000"/>
          <w:kern w:val="2"/>
          <w:sz w:val="32"/>
          <w:szCs w:val="30"/>
          <w:lang w:val="en-US" w:eastAsia="zh-CN"/>
        </w:rPr>
        <w:t>2011年4月，市政府印发了《惠州市市级国有资本经营预算试行办法》（惠府﹝2011﹞35号），下称《试行办法》），经过近十年的工作实践，随着国家相关法律法规的调整变化，部分条款已不太适应现行的政策规定，且《试行办法》已</w:t>
      </w:r>
      <w:r>
        <w:rPr>
          <w:rFonts w:hint="eastAsia" w:ascii="仿宋" w:eastAsia="仿宋" w:cs="仿宋"/>
          <w:sz w:val="32"/>
          <w:szCs w:val="32"/>
          <w:lang w:val="en-US" w:eastAsia="zh-CN"/>
        </w:rPr>
        <w:t>超过有效期自行失效，急需修订。</w:t>
      </w:r>
    </w:p>
    <w:p>
      <w:pPr>
        <w:ind w:firstLine="624" w:firstLineChars="200"/>
        <w:jc w:val="both"/>
        <w:rPr>
          <w:rFonts w:hint="eastAsia" w:ascii="仿宋" w:eastAsia="仿宋" w:cs="仿宋"/>
          <w:sz w:val="32"/>
          <w:szCs w:val="32"/>
          <w:lang w:val="en-US" w:eastAsia="zh-CN"/>
        </w:rPr>
      </w:pPr>
      <w:r>
        <w:rPr>
          <w:rFonts w:hint="eastAsia" w:ascii="仿宋_GB2312" w:eastAsia="仿宋_GB2312" w:cs="仿宋_GB2312"/>
          <w:color w:val="000000"/>
          <w:sz w:val="32"/>
          <w:szCs w:val="30"/>
        </w:rPr>
        <w:t>根据《中华人民共和国预算法》、《中华人民共和国企业国有资产法》</w:t>
      </w:r>
      <w:r>
        <w:rPr>
          <w:rFonts w:hint="eastAsia" w:ascii="仿宋_GB2312" w:eastAsia="仿宋_GB2312" w:cs="仿宋_GB2312"/>
          <w:color w:val="000000"/>
          <w:sz w:val="32"/>
          <w:szCs w:val="30"/>
          <w:lang w:eastAsia="zh-CN"/>
        </w:rPr>
        <w:t>等法律法规，参照财政部《</w:t>
      </w:r>
      <w:r>
        <w:rPr>
          <w:rFonts w:hint="eastAsia" w:ascii="仿宋_GB2312" w:eastAsia="仿宋_GB2312" w:cs="仿宋_GB2312"/>
          <w:color w:val="000000"/>
          <w:sz w:val="32"/>
          <w:szCs w:val="30"/>
        </w:rPr>
        <w:t>中央国有资本经营预算管理暂行办法</w:t>
      </w:r>
      <w:r>
        <w:rPr>
          <w:rFonts w:hint="eastAsia" w:ascii="仿宋_GB2312" w:eastAsia="仿宋_GB2312" w:cs="仿宋_GB2312"/>
          <w:color w:val="000000"/>
          <w:sz w:val="32"/>
          <w:szCs w:val="30"/>
          <w:lang w:eastAsia="zh-CN"/>
        </w:rPr>
        <w:t>》</w:t>
      </w:r>
      <w:r>
        <w:rPr>
          <w:rFonts w:hint="eastAsia" w:ascii="仿宋_GB2312" w:eastAsia="仿宋_GB2312" w:cs="仿宋_GB2312"/>
          <w:color w:val="000000"/>
          <w:sz w:val="32"/>
          <w:szCs w:val="30"/>
          <w:lang w:val="en-US" w:eastAsia="zh-CN"/>
        </w:rPr>
        <w:t>（财预</w:t>
      </w:r>
      <w:r>
        <w:rPr>
          <w:rFonts w:hint="eastAsia" w:ascii="仿宋_GB2312" w:eastAsia="仿宋_GB2312" w:cs="仿宋_GB2312"/>
          <w:sz w:val="32"/>
          <w:szCs w:val="30"/>
        </w:rPr>
        <w:t>〔</w:t>
      </w:r>
      <w:r>
        <w:rPr>
          <w:rFonts w:hint="eastAsia" w:ascii="仿宋_GB2312" w:eastAsia="仿宋_GB2312" w:cs="仿宋_GB2312"/>
          <w:sz w:val="32"/>
          <w:szCs w:val="30"/>
          <w:lang w:val="en-US" w:eastAsia="zh-CN"/>
        </w:rPr>
        <w:t>2016</w:t>
      </w:r>
      <w:r>
        <w:rPr>
          <w:rFonts w:hint="eastAsia" w:ascii="仿宋_GB2312" w:eastAsia="仿宋_GB2312" w:cs="仿宋_GB2312"/>
          <w:sz w:val="32"/>
          <w:szCs w:val="30"/>
        </w:rPr>
        <w:t>〕</w:t>
      </w:r>
      <w:r>
        <w:rPr>
          <w:rFonts w:hint="eastAsia" w:ascii="仿宋_GB2312" w:eastAsia="仿宋_GB2312" w:cs="仿宋_GB2312"/>
          <w:sz w:val="32"/>
          <w:szCs w:val="30"/>
          <w:lang w:val="en-US" w:eastAsia="zh-CN"/>
        </w:rPr>
        <w:t>6号）及相关配套政策，特别是广东省人民政府《加大省级财政统筹力度工作方案》（粤办函</w:t>
      </w:r>
      <w:r>
        <w:rPr>
          <w:rFonts w:hint="eastAsia" w:ascii="仿宋_GB2312" w:eastAsia="仿宋_GB2312" w:cs="仿宋_GB2312"/>
          <w:sz w:val="32"/>
          <w:szCs w:val="30"/>
        </w:rPr>
        <w:t>〔</w:t>
      </w:r>
      <w:r>
        <w:rPr>
          <w:rFonts w:hint="eastAsia" w:ascii="仿宋_GB2312" w:eastAsia="仿宋_GB2312" w:cs="仿宋_GB2312"/>
          <w:sz w:val="32"/>
          <w:szCs w:val="30"/>
          <w:lang w:val="en-US" w:eastAsia="zh-CN"/>
        </w:rPr>
        <w:t>2017</w:t>
      </w:r>
      <w:r>
        <w:rPr>
          <w:rFonts w:hint="eastAsia" w:ascii="仿宋_GB2312" w:eastAsia="仿宋_GB2312" w:cs="仿宋_GB2312"/>
          <w:sz w:val="32"/>
          <w:szCs w:val="30"/>
        </w:rPr>
        <w:t>〕</w:t>
      </w:r>
      <w:r>
        <w:rPr>
          <w:rFonts w:hint="eastAsia" w:ascii="仿宋_GB2312" w:eastAsia="仿宋_GB2312" w:cs="仿宋_GB2312"/>
          <w:sz w:val="32"/>
          <w:szCs w:val="30"/>
          <w:lang w:val="en-US" w:eastAsia="zh-CN"/>
        </w:rPr>
        <w:t>544号）</w:t>
      </w:r>
      <w:r>
        <w:rPr>
          <w:rFonts w:hint="eastAsia" w:ascii="仿宋_GB2312" w:eastAsia="仿宋_GB2312" w:cs="仿宋_GB2312"/>
          <w:color w:val="000000"/>
          <w:sz w:val="32"/>
          <w:szCs w:val="30"/>
        </w:rPr>
        <w:t>等</w:t>
      </w:r>
      <w:r>
        <w:rPr>
          <w:rFonts w:hint="eastAsia" w:ascii="仿宋_GB2312" w:eastAsia="仿宋_GB2312" w:cs="仿宋_GB2312"/>
          <w:color w:val="000000"/>
          <w:sz w:val="32"/>
          <w:szCs w:val="30"/>
          <w:lang w:eastAsia="zh-CN"/>
        </w:rPr>
        <w:t>有关规定</w:t>
      </w:r>
      <w:r>
        <w:rPr>
          <w:rFonts w:hint="eastAsia" w:ascii="仿宋_GB2312" w:eastAsia="仿宋_GB2312" w:cs="仿宋_GB2312"/>
          <w:color w:val="000000"/>
          <w:sz w:val="32"/>
          <w:szCs w:val="30"/>
        </w:rPr>
        <w:t>，</w:t>
      </w:r>
      <w:r>
        <w:rPr>
          <w:rFonts w:hint="eastAsia" w:ascii="仿宋" w:eastAsia="仿宋" w:cs="仿宋"/>
          <w:sz w:val="32"/>
          <w:szCs w:val="32"/>
          <w:lang w:val="en-US" w:eastAsia="zh-CN"/>
        </w:rPr>
        <w:t>为进一步加强和规范市级国有资本经营预算管理，</w:t>
      </w:r>
      <w:r>
        <w:rPr>
          <w:rFonts w:hint="eastAsia" w:ascii="仿宋_GB2312" w:eastAsia="仿宋_GB2312" w:cs="仿宋_GB2312"/>
          <w:color w:val="000000"/>
          <w:sz w:val="32"/>
          <w:szCs w:val="30"/>
          <w:lang w:val="en-US" w:eastAsia="zh-CN"/>
        </w:rPr>
        <w:t>市财政局重新修订了</w:t>
      </w:r>
      <w:r>
        <w:rPr>
          <w:rFonts w:hint="eastAsia" w:ascii="仿宋" w:eastAsia="仿宋" w:cs="仿宋"/>
          <w:sz w:val="32"/>
          <w:szCs w:val="32"/>
          <w:lang w:val="en-US" w:eastAsia="zh-CN"/>
        </w:rPr>
        <w:t>《惠州市市级国有资本经营预算管理暂行办法》（下称《暂行办法》）。</w:t>
      </w:r>
    </w:p>
    <w:p>
      <w:pPr>
        <w:tabs>
          <w:tab w:val="left" w:pos="0"/>
        </w:tabs>
        <w:ind w:left="599" w:leftChars="192"/>
        <w:jc w:val="both"/>
        <w:rPr>
          <w:rFonts w:hint="eastAsia" w:ascii="黑体" w:eastAsia="黑体" w:cs="黑体"/>
          <w:b w:val="0"/>
          <w:bCs w:val="0"/>
          <w:color w:val="333333"/>
          <w:spacing w:val="0"/>
          <w:sz w:val="32"/>
          <w:szCs w:val="30"/>
          <w:u w:val="none"/>
          <w:shd w:val="clear" w:color="auto" w:fill="FFFFFF"/>
          <w:lang w:val="en-US" w:eastAsia="zh-CN"/>
        </w:rPr>
      </w:pPr>
      <w:r>
        <w:rPr>
          <w:rFonts w:hint="eastAsia" w:ascii="黑体" w:eastAsia="黑体" w:cs="黑体"/>
          <w:b w:val="0"/>
          <w:bCs w:val="0"/>
          <w:color w:val="000000"/>
          <w:kern w:val="2"/>
          <w:sz w:val="32"/>
          <w:szCs w:val="30"/>
          <w:lang w:val="en-US" w:eastAsia="zh-CN"/>
        </w:rPr>
        <w:t>二、</w:t>
      </w:r>
      <w:r>
        <w:rPr>
          <w:rFonts w:hint="eastAsia" w:ascii="黑体" w:eastAsia="黑体" w:cs="黑体"/>
          <w:b w:val="0"/>
          <w:bCs w:val="0"/>
          <w:color w:val="333333"/>
          <w:spacing w:val="0"/>
          <w:sz w:val="32"/>
          <w:szCs w:val="30"/>
          <w:u w:val="none"/>
          <w:shd w:val="clear" w:color="auto" w:fill="FFFFFF"/>
          <w:lang w:val="en-US" w:eastAsia="zh-CN"/>
        </w:rPr>
        <w:t>主要政策依据</w:t>
      </w:r>
    </w:p>
    <w:p>
      <w:pPr>
        <w:widowControl w:val="0"/>
        <w:ind w:left="0" w:firstLine="624" w:firstLineChars="200"/>
        <w:jc w:val="both"/>
        <w:rPr>
          <w:rFonts w:hint="eastAsia" w:ascii="仿宋_GB2312" w:eastAsia="仿宋_GB2312" w:cs="仿宋_GB2312"/>
          <w:sz w:val="32"/>
          <w:szCs w:val="30"/>
          <w:lang w:val="en-US" w:eastAsia="zh-CN"/>
        </w:rPr>
      </w:pPr>
      <w:r>
        <w:rPr>
          <w:rFonts w:hint="eastAsia" w:ascii="仿宋_GB2312" w:eastAsia="仿宋_GB2312" w:cs="仿宋_GB2312"/>
          <w:color w:val="000000"/>
          <w:sz w:val="32"/>
          <w:szCs w:val="30"/>
          <w:lang w:val="en-US" w:eastAsia="zh-CN"/>
        </w:rPr>
        <w:t>《暂行办法》修订所参考的政策、法律文件主要有</w:t>
      </w:r>
      <w:r>
        <w:rPr>
          <w:rFonts w:hint="eastAsia" w:ascii="仿宋_GB2312" w:eastAsia="仿宋_GB2312" w:cs="仿宋_GB2312"/>
          <w:color w:val="000000"/>
          <w:sz w:val="32"/>
          <w:szCs w:val="30"/>
        </w:rPr>
        <w:t>《中华人民共和国预算法》</w:t>
      </w:r>
      <w:r>
        <w:rPr>
          <w:rFonts w:hint="eastAsia" w:ascii="仿宋_GB2312" w:eastAsia="仿宋_GB2312" w:cs="仿宋_GB2312"/>
          <w:color w:val="000000"/>
          <w:sz w:val="32"/>
          <w:szCs w:val="30"/>
          <w:lang w:eastAsia="zh-CN"/>
        </w:rPr>
        <w:t>、</w:t>
      </w:r>
      <w:r>
        <w:rPr>
          <w:rFonts w:hint="eastAsia" w:ascii="仿宋_GB2312" w:eastAsia="仿宋_GB2312" w:cs="仿宋_GB2312"/>
          <w:color w:val="000000"/>
          <w:sz w:val="32"/>
          <w:szCs w:val="30"/>
        </w:rPr>
        <w:t>《中华人民共和国企业国有资产法》</w:t>
      </w:r>
      <w:r>
        <w:rPr>
          <w:rFonts w:hint="eastAsia" w:ascii="仿宋_GB2312" w:eastAsia="仿宋_GB2312" w:cs="仿宋_GB2312"/>
          <w:color w:val="000000"/>
          <w:sz w:val="32"/>
          <w:szCs w:val="30"/>
          <w:lang w:eastAsia="zh-CN"/>
        </w:rPr>
        <w:t>等法律；财政部《</w:t>
      </w:r>
      <w:r>
        <w:rPr>
          <w:rFonts w:hint="eastAsia" w:ascii="仿宋_GB2312" w:eastAsia="仿宋_GB2312" w:cs="仿宋_GB2312"/>
          <w:color w:val="000000"/>
          <w:sz w:val="32"/>
          <w:szCs w:val="30"/>
        </w:rPr>
        <w:t>中央国有资本经营预算管理暂行办法</w:t>
      </w:r>
      <w:r>
        <w:rPr>
          <w:rFonts w:hint="eastAsia" w:ascii="仿宋_GB2312" w:eastAsia="仿宋_GB2312" w:cs="仿宋_GB2312"/>
          <w:color w:val="000000"/>
          <w:sz w:val="32"/>
          <w:szCs w:val="30"/>
          <w:lang w:eastAsia="zh-CN"/>
        </w:rPr>
        <w:t>》</w:t>
      </w:r>
      <w:r>
        <w:rPr>
          <w:rFonts w:hint="eastAsia" w:ascii="仿宋_GB2312" w:eastAsia="仿宋_GB2312" w:cs="仿宋_GB2312"/>
          <w:color w:val="000000"/>
          <w:sz w:val="32"/>
          <w:szCs w:val="30"/>
          <w:lang w:val="en-US" w:eastAsia="zh-CN"/>
        </w:rPr>
        <w:t>（财预</w:t>
      </w:r>
      <w:r>
        <w:rPr>
          <w:rFonts w:hint="eastAsia" w:ascii="仿宋_GB2312" w:eastAsia="仿宋_GB2312" w:cs="仿宋_GB2312"/>
          <w:sz w:val="32"/>
          <w:szCs w:val="30"/>
        </w:rPr>
        <w:t>〔</w:t>
      </w:r>
      <w:r>
        <w:rPr>
          <w:rFonts w:hint="eastAsia" w:ascii="仿宋_GB2312" w:eastAsia="仿宋_GB2312" w:cs="仿宋_GB2312"/>
          <w:sz w:val="32"/>
          <w:szCs w:val="30"/>
          <w:lang w:val="en-US" w:eastAsia="zh-CN"/>
        </w:rPr>
        <w:t>2016</w:t>
      </w:r>
      <w:r>
        <w:rPr>
          <w:rFonts w:hint="eastAsia" w:ascii="仿宋_GB2312" w:eastAsia="仿宋_GB2312" w:cs="仿宋_GB2312"/>
          <w:sz w:val="32"/>
          <w:szCs w:val="30"/>
        </w:rPr>
        <w:t>〕</w:t>
      </w:r>
      <w:r>
        <w:rPr>
          <w:rFonts w:hint="eastAsia" w:ascii="仿宋_GB2312" w:eastAsia="仿宋_GB2312" w:cs="仿宋_GB2312"/>
          <w:sz w:val="32"/>
          <w:szCs w:val="30"/>
          <w:lang w:val="en-US" w:eastAsia="zh-CN"/>
        </w:rPr>
        <w:t>6号）及相关配套政策；广东省人民政府《加大省级财政统筹力度工作方案》（粤办函</w:t>
      </w:r>
      <w:r>
        <w:rPr>
          <w:rFonts w:hint="eastAsia" w:ascii="仿宋_GB2312" w:eastAsia="仿宋_GB2312" w:cs="仿宋_GB2312"/>
          <w:sz w:val="32"/>
          <w:szCs w:val="30"/>
        </w:rPr>
        <w:t>〔</w:t>
      </w:r>
      <w:r>
        <w:rPr>
          <w:rFonts w:hint="eastAsia" w:ascii="仿宋_GB2312" w:eastAsia="仿宋_GB2312" w:cs="仿宋_GB2312"/>
          <w:sz w:val="32"/>
          <w:szCs w:val="30"/>
          <w:lang w:val="en-US" w:eastAsia="zh-CN"/>
        </w:rPr>
        <w:t>2017</w:t>
      </w:r>
      <w:r>
        <w:rPr>
          <w:rFonts w:hint="eastAsia" w:ascii="仿宋_GB2312" w:eastAsia="仿宋_GB2312" w:cs="仿宋_GB2312"/>
          <w:sz w:val="32"/>
          <w:szCs w:val="30"/>
        </w:rPr>
        <w:t>〕</w:t>
      </w:r>
      <w:r>
        <w:rPr>
          <w:rFonts w:hint="eastAsia" w:ascii="仿宋_GB2312" w:eastAsia="仿宋_GB2312" w:cs="仿宋_GB2312"/>
          <w:sz w:val="32"/>
          <w:szCs w:val="30"/>
          <w:lang w:val="en-US" w:eastAsia="zh-CN"/>
        </w:rPr>
        <w:t>544号）</w:t>
      </w:r>
      <w:r>
        <w:rPr>
          <w:rFonts w:hint="eastAsia" w:ascii="仿宋_GB2312" w:eastAsia="仿宋_GB2312" w:cs="仿宋_GB2312"/>
          <w:color w:val="000000"/>
          <w:kern w:val="2"/>
          <w:sz w:val="32"/>
          <w:szCs w:val="30"/>
          <w:lang w:val="en-US" w:eastAsia="zh-CN"/>
        </w:rPr>
        <w:t xml:space="preserve">以及 </w:t>
      </w:r>
      <w:r>
        <w:rPr>
          <w:rFonts w:hint="eastAsia" w:ascii="仿宋_GB2312" w:eastAsia="仿宋_GB2312" w:cs="仿宋_GB2312"/>
          <w:color w:val="000000"/>
          <w:sz w:val="32"/>
          <w:szCs w:val="30"/>
          <w:lang w:eastAsia="zh-CN"/>
        </w:rPr>
        <w:t>《惠州市行政机关规范性文件制定程序规定》（惠府</w:t>
      </w:r>
      <w:r>
        <w:rPr>
          <w:rFonts w:hint="eastAsia" w:ascii="仿宋_GB2312" w:eastAsia="仿宋_GB2312" w:cs="仿宋_GB2312"/>
          <w:sz w:val="32"/>
          <w:szCs w:val="30"/>
        </w:rPr>
        <w:t>〔</w:t>
      </w:r>
      <w:r>
        <w:rPr>
          <w:rFonts w:hint="eastAsia" w:ascii="仿宋_GB2312" w:eastAsia="仿宋_GB2312" w:cs="仿宋_GB2312"/>
          <w:sz w:val="32"/>
          <w:szCs w:val="30"/>
          <w:lang w:val="en-US" w:eastAsia="zh-CN"/>
        </w:rPr>
        <w:t>2017</w:t>
      </w:r>
      <w:r>
        <w:rPr>
          <w:rFonts w:hint="eastAsia" w:ascii="仿宋_GB2312" w:eastAsia="仿宋_GB2312" w:cs="仿宋_GB2312"/>
          <w:sz w:val="32"/>
          <w:szCs w:val="30"/>
        </w:rPr>
        <w:t>〕</w:t>
      </w:r>
      <w:r>
        <w:rPr>
          <w:rFonts w:hint="eastAsia" w:ascii="仿宋_GB2312" w:eastAsia="仿宋_GB2312" w:cs="仿宋_GB2312"/>
          <w:sz w:val="32"/>
          <w:szCs w:val="30"/>
          <w:lang w:val="en-US" w:eastAsia="zh-CN"/>
        </w:rPr>
        <w:t>46号）等。</w:t>
      </w:r>
    </w:p>
    <w:p>
      <w:pPr>
        <w:ind w:left="0" w:firstLine="624" w:firstLineChars="200"/>
        <w:jc w:val="both"/>
        <w:rPr>
          <w:rFonts w:hint="eastAsia" w:ascii="仿宋_GB2312" w:eastAsia="仿宋_GB2312" w:cs="仿宋_GB2312"/>
          <w:color w:val="000000"/>
          <w:kern w:val="2"/>
          <w:sz w:val="32"/>
          <w:szCs w:val="30"/>
          <w:lang w:val="en-US" w:eastAsia="zh-CN"/>
        </w:rPr>
      </w:pPr>
      <w:r>
        <w:rPr>
          <w:rFonts w:hint="eastAsia" w:ascii="黑体" w:eastAsia="黑体" w:cs="黑体"/>
          <w:b w:val="0"/>
          <w:bCs w:val="0"/>
          <w:color w:val="000000"/>
          <w:kern w:val="2"/>
          <w:sz w:val="32"/>
          <w:szCs w:val="30"/>
          <w:lang w:val="en-US" w:eastAsia="zh-CN"/>
        </w:rPr>
        <w:t>三、办法的主要内容</w:t>
      </w:r>
      <w:r>
        <w:rPr>
          <w:rFonts w:hint="eastAsia" w:ascii="仿宋_GB2312" w:eastAsia="仿宋_GB2312" w:cs="仿宋_GB2312"/>
          <w:b w:val="0"/>
          <w:bCs w:val="0"/>
          <w:color w:val="000000"/>
          <w:kern w:val="2"/>
          <w:sz w:val="32"/>
          <w:szCs w:val="30"/>
          <w:lang w:val="en-US" w:eastAsia="zh-CN"/>
        </w:rPr>
        <w:br w:type="textWrapping"/>
      </w:r>
      <w:r>
        <w:rPr>
          <w:rFonts w:hint="eastAsia" w:ascii="仿宋_GB2312" w:eastAsia="仿宋_GB2312" w:cs="仿宋_GB2312"/>
          <w:color w:val="000000"/>
          <w:kern w:val="2"/>
          <w:sz w:val="32"/>
          <w:szCs w:val="30"/>
          <w:lang w:val="en-US" w:eastAsia="zh-CN"/>
        </w:rPr>
        <w:t>　　本次提请审议的《暂行办法》共分七章三十四条。</w:t>
      </w:r>
      <w:r>
        <w:rPr>
          <w:rFonts w:hint="eastAsia" w:ascii="仿宋_GB2312" w:eastAsia="仿宋_GB2312" w:cs="仿宋_GB2312"/>
          <w:color w:val="000000"/>
          <w:kern w:val="2"/>
          <w:sz w:val="32"/>
          <w:szCs w:val="30"/>
          <w:lang w:val="en-US" w:eastAsia="zh-CN"/>
        </w:rPr>
        <w:br w:type="textWrapping"/>
      </w:r>
      <w:r>
        <w:rPr>
          <w:rFonts w:hint="eastAsia" w:ascii="仿宋_GB2312" w:eastAsia="仿宋_GB2312" w:cs="仿宋_GB2312"/>
          <w:color w:val="000000"/>
          <w:kern w:val="2"/>
          <w:sz w:val="32"/>
          <w:szCs w:val="30"/>
          <w:lang w:val="en-US" w:eastAsia="zh-CN"/>
        </w:rPr>
        <w:t>　　（一）</w:t>
      </w:r>
      <w:r>
        <w:rPr>
          <w:rFonts w:hint="eastAsia" w:ascii="仿宋_GB2312" w:eastAsia="仿宋_GB2312" w:cs="仿宋_GB2312"/>
          <w:b/>
          <w:bCs/>
          <w:color w:val="000000"/>
          <w:kern w:val="2"/>
          <w:sz w:val="32"/>
          <w:szCs w:val="30"/>
          <w:lang w:val="en-US" w:eastAsia="zh-CN"/>
        </w:rPr>
        <w:t>第一章：总则。</w:t>
      </w:r>
      <w:r>
        <w:rPr>
          <w:rFonts w:hint="eastAsia" w:ascii="仿宋_GB2312" w:eastAsia="仿宋_GB2312" w:cs="仿宋_GB2312"/>
          <w:color w:val="000000"/>
          <w:kern w:val="2"/>
          <w:sz w:val="32"/>
          <w:szCs w:val="30"/>
          <w:lang w:val="en-US" w:eastAsia="zh-CN"/>
        </w:rPr>
        <w:t>共七条（第1-7条），主要阐述了《暂行办法》制定的依据、适用范围和对象以及市级国有资本经营预算编制的原则和方式等。</w:t>
      </w:r>
      <w:r>
        <w:rPr>
          <w:rFonts w:hint="eastAsia" w:ascii="仿宋_GB2312" w:eastAsia="仿宋_GB2312" w:cs="仿宋_GB2312"/>
          <w:color w:val="000000"/>
          <w:kern w:val="2"/>
          <w:sz w:val="32"/>
          <w:szCs w:val="30"/>
          <w:lang w:val="en-US" w:eastAsia="zh-CN"/>
        </w:rPr>
        <w:br w:type="textWrapping"/>
      </w:r>
      <w:r>
        <w:rPr>
          <w:rFonts w:hint="eastAsia" w:ascii="仿宋_GB2312" w:eastAsia="仿宋_GB2312" w:cs="仿宋_GB2312"/>
          <w:color w:val="000000"/>
          <w:kern w:val="2"/>
          <w:sz w:val="32"/>
          <w:szCs w:val="30"/>
          <w:lang w:val="en-US" w:eastAsia="zh-CN"/>
        </w:rPr>
        <w:t>　　（二）</w:t>
      </w:r>
      <w:r>
        <w:rPr>
          <w:rFonts w:hint="eastAsia" w:ascii="仿宋_GB2312" w:eastAsia="仿宋_GB2312" w:cs="仿宋_GB2312"/>
          <w:b/>
          <w:bCs/>
          <w:color w:val="000000"/>
          <w:kern w:val="2"/>
          <w:sz w:val="32"/>
          <w:szCs w:val="30"/>
          <w:lang w:val="en-US" w:eastAsia="zh-CN"/>
        </w:rPr>
        <w:t>第二章：预算收支范围。</w:t>
      </w:r>
      <w:r>
        <w:rPr>
          <w:rFonts w:hint="eastAsia" w:ascii="仿宋_GB2312" w:eastAsia="仿宋_GB2312" w:cs="仿宋_GB2312"/>
          <w:color w:val="000000"/>
          <w:kern w:val="2"/>
          <w:sz w:val="32"/>
          <w:szCs w:val="30"/>
          <w:lang w:val="en-US" w:eastAsia="zh-CN"/>
        </w:rPr>
        <w:t>共三条（第8-10条）。主要阐述了市级国有资本经营预算收支范畴等，明确了市级国有资本经营预算收入系指市级部门及市属企业上缴的国有资本收益，支出主要是用于国有企业改革成本、国有企业资本金注入和国有资产监管费用及其他支出等。</w:t>
      </w:r>
      <w:r>
        <w:rPr>
          <w:rFonts w:hint="eastAsia" w:ascii="仿宋_GB2312" w:eastAsia="仿宋_GB2312" w:cs="仿宋_GB2312"/>
          <w:color w:val="000000"/>
          <w:kern w:val="2"/>
          <w:sz w:val="32"/>
          <w:szCs w:val="30"/>
          <w:lang w:val="en-US" w:eastAsia="zh-CN"/>
        </w:rPr>
        <w:br w:type="textWrapping"/>
      </w:r>
      <w:r>
        <w:rPr>
          <w:rFonts w:hint="eastAsia" w:ascii="仿宋_GB2312" w:eastAsia="仿宋_GB2312" w:cs="仿宋_GB2312"/>
          <w:color w:val="000000"/>
          <w:kern w:val="2"/>
          <w:sz w:val="32"/>
          <w:szCs w:val="30"/>
          <w:lang w:val="en-US" w:eastAsia="zh-CN"/>
        </w:rPr>
        <w:t>　　（三）</w:t>
      </w:r>
      <w:r>
        <w:rPr>
          <w:rFonts w:hint="eastAsia" w:ascii="仿宋_GB2312" w:eastAsia="仿宋_GB2312" w:cs="仿宋_GB2312"/>
          <w:b/>
          <w:bCs/>
          <w:color w:val="000000"/>
          <w:kern w:val="2"/>
          <w:sz w:val="32"/>
          <w:szCs w:val="30"/>
          <w:lang w:val="en-US" w:eastAsia="zh-CN"/>
        </w:rPr>
        <w:t>第三章：预算编制和批复。</w:t>
      </w:r>
      <w:r>
        <w:rPr>
          <w:rFonts w:hint="eastAsia" w:ascii="仿宋_GB2312" w:eastAsia="仿宋_GB2312" w:cs="仿宋_GB2312"/>
          <w:color w:val="000000"/>
          <w:kern w:val="2"/>
          <w:sz w:val="32"/>
          <w:szCs w:val="30"/>
          <w:lang w:val="en-US" w:eastAsia="zh-CN"/>
        </w:rPr>
        <w:t>共六条（第11-16条）。主要阐述了市级国有资本经营预算的编制依据、编制程序和预算批复等，明确了市级国有资本经营预算草案经市政府审定并提请市人民代表大会审议批准后，市财政局应当在20日内向市级部门批复预算。</w:t>
      </w:r>
      <w:r>
        <w:rPr>
          <w:rFonts w:hint="eastAsia" w:ascii="仿宋_GB2312" w:eastAsia="仿宋_GB2312" w:cs="仿宋_GB2312"/>
          <w:color w:val="000000"/>
          <w:kern w:val="2"/>
          <w:sz w:val="32"/>
          <w:szCs w:val="30"/>
          <w:lang w:val="en-US" w:eastAsia="zh-CN"/>
        </w:rPr>
        <w:br w:type="textWrapping"/>
      </w:r>
      <w:r>
        <w:rPr>
          <w:rFonts w:hint="eastAsia" w:ascii="仿宋_GB2312" w:eastAsia="仿宋_GB2312" w:cs="仿宋_GB2312"/>
          <w:color w:val="000000"/>
          <w:kern w:val="2"/>
          <w:sz w:val="32"/>
          <w:szCs w:val="30"/>
          <w:lang w:val="en-US" w:eastAsia="zh-CN"/>
        </w:rPr>
        <w:t>　　</w:t>
      </w:r>
      <w:r>
        <w:rPr>
          <w:rFonts w:hint="eastAsia" w:ascii="仿宋_GB2312" w:eastAsia="仿宋_GB2312" w:cs="仿宋_GB2312"/>
          <w:b/>
          <w:bCs/>
          <w:color w:val="000000"/>
          <w:kern w:val="2"/>
          <w:sz w:val="32"/>
          <w:szCs w:val="30"/>
          <w:lang w:val="en-US" w:eastAsia="zh-CN"/>
        </w:rPr>
        <w:t>（四）第四章：预算执行。</w:t>
      </w:r>
      <w:r>
        <w:rPr>
          <w:rFonts w:hint="eastAsia" w:ascii="仿宋_GB2312" w:eastAsia="仿宋_GB2312" w:cs="仿宋_GB2312"/>
          <w:color w:val="000000"/>
          <w:kern w:val="2"/>
          <w:sz w:val="32"/>
          <w:szCs w:val="30"/>
          <w:lang w:val="en-US" w:eastAsia="zh-CN"/>
        </w:rPr>
        <w:t>共八条（第17-24条）。主要阐述了市级国有资本经营预算收入缴交主体和国有资本收益申报要求以及预算支出管理规定等，明确了</w:t>
      </w:r>
      <w:r>
        <w:rPr>
          <w:rFonts w:hint="eastAsia" w:ascii="仿宋_GB2312" w:eastAsia="仿宋_GB2312" w:cs="仿宋_GB2312"/>
          <w:color w:val="auto"/>
          <w:spacing w:val="0"/>
          <w:sz w:val="32"/>
          <w:szCs w:val="30"/>
          <w:shd w:val="clear" w:color="auto" w:fill="FFFFFF"/>
          <w:lang w:eastAsia="zh-CN"/>
        </w:rPr>
        <w:t>市属</w:t>
      </w:r>
      <w:r>
        <w:rPr>
          <w:rFonts w:hint="eastAsia" w:ascii="仿宋_GB2312" w:eastAsia="仿宋_GB2312" w:cs="仿宋_GB2312"/>
          <w:color w:val="auto"/>
          <w:spacing w:val="0"/>
          <w:sz w:val="32"/>
          <w:szCs w:val="30"/>
          <w:shd w:val="clear" w:color="auto" w:fill="FFFFFF"/>
        </w:rPr>
        <w:t>企业按规定应上交的国有资本收益应当及时足额上交</w:t>
      </w:r>
      <w:r>
        <w:rPr>
          <w:rFonts w:hint="eastAsia" w:ascii="仿宋_GB2312" w:eastAsia="仿宋_GB2312" w:cs="仿宋_GB2312"/>
          <w:color w:val="auto"/>
          <w:spacing w:val="0"/>
          <w:sz w:val="32"/>
          <w:szCs w:val="30"/>
          <w:shd w:val="clear" w:color="auto" w:fill="FFFFFF"/>
          <w:lang w:eastAsia="zh-CN"/>
        </w:rPr>
        <w:t>，</w:t>
      </w:r>
      <w:r>
        <w:rPr>
          <w:rFonts w:hint="eastAsia" w:ascii="仿宋_GB2312" w:eastAsia="仿宋_GB2312" w:cs="仿宋_GB2312"/>
          <w:color w:val="auto"/>
          <w:spacing w:val="0"/>
          <w:sz w:val="32"/>
          <w:szCs w:val="30"/>
          <w:shd w:val="clear" w:color="auto" w:fill="FFFFFF"/>
        </w:rPr>
        <w:t>任何部门和单位不得擅自减免</w:t>
      </w:r>
      <w:r>
        <w:rPr>
          <w:rFonts w:hint="eastAsia" w:ascii="仿宋_GB2312" w:eastAsia="仿宋_GB2312" w:cs="仿宋_GB2312"/>
          <w:color w:val="auto"/>
          <w:spacing w:val="0"/>
          <w:sz w:val="32"/>
          <w:szCs w:val="30"/>
          <w:shd w:val="clear" w:color="auto" w:fill="FFFFFF"/>
          <w:lang w:eastAsia="zh-CN"/>
        </w:rPr>
        <w:t>市级</w:t>
      </w:r>
      <w:r>
        <w:rPr>
          <w:rFonts w:hint="eastAsia" w:ascii="仿宋_GB2312" w:eastAsia="仿宋_GB2312" w:cs="仿宋_GB2312"/>
          <w:color w:val="auto"/>
          <w:spacing w:val="0"/>
          <w:sz w:val="32"/>
          <w:szCs w:val="30"/>
          <w:shd w:val="clear" w:color="auto" w:fill="FFFFFF"/>
        </w:rPr>
        <w:t>国有资本经营预算收入</w:t>
      </w:r>
      <w:r>
        <w:rPr>
          <w:rFonts w:hint="eastAsia" w:ascii="仿宋_GB2312" w:eastAsia="仿宋_GB2312" w:cs="仿宋_GB2312"/>
          <w:color w:val="auto"/>
          <w:spacing w:val="0"/>
          <w:sz w:val="32"/>
          <w:szCs w:val="30"/>
          <w:shd w:val="clear" w:color="auto" w:fill="FFFFFF"/>
          <w:lang w:eastAsia="zh-CN"/>
        </w:rPr>
        <w:t>；强调了</w:t>
      </w:r>
      <w:r>
        <w:rPr>
          <w:rFonts w:hint="eastAsia" w:ascii="仿宋_GB2312" w:eastAsia="仿宋_GB2312" w:cs="仿宋_GB2312"/>
          <w:color w:val="auto"/>
          <w:spacing w:val="0"/>
          <w:sz w:val="32"/>
          <w:szCs w:val="30"/>
          <w:shd w:val="clear" w:color="auto" w:fill="FFFFFF"/>
          <w:lang w:val="en-US" w:eastAsia="zh-CN"/>
        </w:rPr>
        <w:t>市级</w:t>
      </w:r>
      <w:r>
        <w:rPr>
          <w:rFonts w:hint="eastAsia" w:ascii="仿宋_GB2312" w:eastAsia="仿宋_GB2312" w:cs="仿宋_GB2312"/>
          <w:color w:val="auto"/>
          <w:spacing w:val="0"/>
          <w:sz w:val="32"/>
          <w:szCs w:val="30"/>
          <w:shd w:val="clear" w:color="auto" w:fill="FFFFFF"/>
        </w:rPr>
        <w:t>国有资本经营预算支出应当按照经批复的预算执行，未经</w:t>
      </w:r>
      <w:r>
        <w:rPr>
          <w:rFonts w:hint="eastAsia" w:ascii="仿宋_GB2312" w:eastAsia="仿宋_GB2312" w:cs="仿宋_GB2312"/>
          <w:color w:val="auto"/>
          <w:spacing w:val="0"/>
          <w:sz w:val="32"/>
          <w:szCs w:val="30"/>
          <w:u w:val="none"/>
          <w:shd w:val="clear" w:color="auto" w:fill="FFFFFF"/>
          <w:lang w:val="en-US" w:eastAsia="zh-CN"/>
        </w:rPr>
        <w:t>市政府</w:t>
      </w:r>
      <w:r>
        <w:rPr>
          <w:rFonts w:hint="eastAsia" w:ascii="仿宋_GB2312" w:eastAsia="仿宋_GB2312" w:cs="仿宋_GB2312"/>
          <w:color w:val="auto"/>
          <w:spacing w:val="0"/>
          <w:sz w:val="32"/>
          <w:szCs w:val="30"/>
          <w:shd w:val="clear" w:color="auto" w:fill="FFFFFF"/>
        </w:rPr>
        <w:t>批准不得擅自调剂。</w:t>
      </w:r>
      <w:r>
        <w:rPr>
          <w:rFonts w:hint="eastAsia" w:ascii="仿宋_GB2312" w:eastAsia="仿宋_GB2312" w:cs="仿宋_GB2312"/>
          <w:color w:val="000000"/>
          <w:kern w:val="2"/>
          <w:sz w:val="32"/>
          <w:szCs w:val="30"/>
          <w:lang w:val="en-US" w:eastAsia="zh-CN"/>
        </w:rPr>
        <w:br w:type="textWrapping"/>
      </w:r>
      <w:r>
        <w:rPr>
          <w:rFonts w:hint="eastAsia" w:ascii="仿宋_GB2312" w:eastAsia="仿宋_GB2312" w:cs="仿宋_GB2312"/>
          <w:color w:val="000000"/>
          <w:kern w:val="2"/>
          <w:sz w:val="32"/>
          <w:szCs w:val="30"/>
          <w:lang w:val="en-US" w:eastAsia="zh-CN"/>
        </w:rPr>
        <w:t>　　（五）</w:t>
      </w:r>
      <w:r>
        <w:rPr>
          <w:rFonts w:hint="eastAsia" w:ascii="仿宋_GB2312" w:eastAsia="仿宋_GB2312" w:cs="仿宋_GB2312"/>
          <w:b/>
          <w:bCs/>
          <w:color w:val="000000"/>
          <w:kern w:val="2"/>
          <w:sz w:val="32"/>
          <w:szCs w:val="30"/>
          <w:lang w:val="en-US" w:eastAsia="zh-CN"/>
        </w:rPr>
        <w:t>第五章：决算。</w:t>
      </w:r>
      <w:r>
        <w:rPr>
          <w:rFonts w:hint="eastAsia" w:ascii="仿宋_GB2312" w:eastAsia="仿宋_GB2312" w:cs="仿宋_GB2312"/>
          <w:color w:val="000000"/>
          <w:kern w:val="2"/>
          <w:sz w:val="32"/>
          <w:szCs w:val="30"/>
          <w:lang w:val="en-US" w:eastAsia="zh-CN"/>
        </w:rPr>
        <w:t>共五条（第25-29条）。主要阐述了市级国有资本经营决算草案编制程序和审查的相关要求和规定，明确了市级国有资本经营决算草案经市审计部门审计并报市政府审定再由市政府提请市人民代表大会常务委员会审批准后，市财政局应当在20日内向市级部门批复决算。</w:t>
      </w:r>
      <w:r>
        <w:rPr>
          <w:rFonts w:hint="eastAsia" w:ascii="仿宋_GB2312" w:eastAsia="仿宋_GB2312" w:cs="仿宋_GB2312"/>
          <w:color w:val="000000"/>
          <w:kern w:val="2"/>
          <w:sz w:val="32"/>
          <w:szCs w:val="30"/>
          <w:lang w:val="en-US" w:eastAsia="zh-CN"/>
        </w:rPr>
        <w:br w:type="textWrapping"/>
      </w:r>
      <w:r>
        <w:rPr>
          <w:rFonts w:hint="eastAsia" w:ascii="仿宋_GB2312" w:eastAsia="仿宋_GB2312" w:cs="仿宋_GB2312"/>
          <w:color w:val="000000"/>
          <w:kern w:val="2"/>
          <w:sz w:val="32"/>
          <w:szCs w:val="30"/>
          <w:lang w:val="en-US" w:eastAsia="zh-CN"/>
        </w:rPr>
        <w:t>　　（六）</w:t>
      </w:r>
      <w:r>
        <w:rPr>
          <w:rFonts w:hint="eastAsia" w:ascii="仿宋_GB2312" w:eastAsia="仿宋_GB2312" w:cs="仿宋_GB2312"/>
          <w:b/>
          <w:bCs/>
          <w:color w:val="000000"/>
          <w:kern w:val="2"/>
          <w:sz w:val="32"/>
          <w:szCs w:val="30"/>
          <w:lang w:val="en-US" w:eastAsia="zh-CN"/>
        </w:rPr>
        <w:t>第六章：监督检查与绩效管理。</w:t>
      </w:r>
      <w:r>
        <w:rPr>
          <w:rFonts w:hint="eastAsia" w:ascii="仿宋_GB2312" w:eastAsia="仿宋_GB2312" w:cs="仿宋_GB2312"/>
          <w:color w:val="000000"/>
          <w:kern w:val="2"/>
          <w:sz w:val="32"/>
          <w:szCs w:val="30"/>
          <w:lang w:val="en-US" w:eastAsia="zh-CN"/>
        </w:rPr>
        <w:t>共三条（第30-32条）。主要阐述了对市级国有资本经营预算执行情况开展监督检查和绩效评价工作的相关要求和规定，明确了市财政局、市审计局和市级部门各自的工作职责和责任分工。</w:t>
      </w:r>
      <w:r>
        <w:rPr>
          <w:rFonts w:hint="eastAsia" w:ascii="仿宋_GB2312" w:eastAsia="仿宋_GB2312" w:cs="仿宋_GB2312"/>
          <w:color w:val="000000"/>
          <w:kern w:val="2"/>
          <w:sz w:val="32"/>
          <w:szCs w:val="30"/>
          <w:lang w:val="en-US" w:eastAsia="zh-CN"/>
        </w:rPr>
        <w:br w:type="textWrapping"/>
      </w:r>
      <w:r>
        <w:rPr>
          <w:rFonts w:hint="eastAsia" w:ascii="仿宋_GB2312" w:eastAsia="仿宋_GB2312" w:cs="仿宋_GB2312"/>
          <w:color w:val="000000"/>
          <w:kern w:val="2"/>
          <w:sz w:val="32"/>
          <w:szCs w:val="30"/>
          <w:lang w:val="en-US" w:eastAsia="zh-CN"/>
        </w:rPr>
        <w:t>　　（七）</w:t>
      </w:r>
      <w:r>
        <w:rPr>
          <w:rFonts w:hint="eastAsia" w:ascii="仿宋_GB2312" w:eastAsia="仿宋_GB2312" w:cs="仿宋_GB2312"/>
          <w:b/>
          <w:bCs/>
          <w:color w:val="000000"/>
          <w:kern w:val="2"/>
          <w:sz w:val="32"/>
          <w:szCs w:val="30"/>
          <w:lang w:val="en-US" w:eastAsia="zh-CN"/>
        </w:rPr>
        <w:t>第七章：附则。</w:t>
      </w:r>
      <w:r>
        <w:rPr>
          <w:rFonts w:hint="eastAsia" w:ascii="仿宋_GB2312" w:eastAsia="仿宋_GB2312" w:cs="仿宋_GB2312"/>
          <w:color w:val="000000"/>
          <w:kern w:val="2"/>
          <w:sz w:val="32"/>
          <w:szCs w:val="30"/>
          <w:lang w:val="en-US" w:eastAsia="zh-CN"/>
        </w:rPr>
        <w:t>共二条（第33-34条）。明确了本《办法》解释主体和施行日期及有效期。</w:t>
      </w:r>
    </w:p>
    <w:p>
      <w:pPr>
        <w:rPr>
          <w:rFonts w:hint="eastAsia" w:ascii="仿宋_GB2312"/>
          <w:szCs w:val="32"/>
        </w:rPr>
      </w:pPr>
      <w:r>
        <w:rPr>
          <w:rFonts w:hint="eastAsia" w:ascii="仿宋_GB2312" w:eastAsia="仿宋_GB2312" w:cs="仿宋_GB2312"/>
          <w:sz w:val="32"/>
          <w:szCs w:val="30"/>
          <w:lang w:val="en-US" w:eastAsia="zh-CN"/>
        </w:rPr>
        <w:tab/>
      </w:r>
      <w:r>
        <w:rPr>
          <w:rFonts w:hint="eastAsia" w:ascii="仿宋_GB2312" w:eastAsia="仿宋_GB2312" w:cs="仿宋_GB2312"/>
          <w:sz w:val="32"/>
          <w:szCs w:val="30"/>
          <w:lang w:val="en-US" w:eastAsia="zh-CN"/>
        </w:rPr>
        <w:t xml:space="preserve">          </w:t>
      </w:r>
    </w:p>
    <w:p>
      <w:pPr>
        <w:jc w:val="left"/>
        <w:rPr>
          <w:rFonts w:hint="eastAsia"/>
        </w:rPr>
      </w:pPr>
    </w:p>
    <w:sectPr>
      <w:footerReference r:id="rId3" w:type="default"/>
      <w:footerReference r:id="rId4" w:type="even"/>
      <w:pgSz w:w="11906" w:h="16838"/>
      <w:pgMar w:top="2098" w:right="1588" w:bottom="1991" w:left="1588" w:header="851" w:footer="1418" w:gutter="0"/>
      <w:pgNumType w:fmt="decimalFullWidth"/>
      <w:docGrid w:type="linesAndChars" w:linePitch="579"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rPr>
        <w:rStyle w:val="10"/>
        <w:rFonts w:hint="eastAsia" w:ascii="仿宋_GB2312" w:hAnsi="仿宋_GB2312"/>
        <w:sz w:val="28"/>
      </w:rPr>
    </w:pPr>
    <w:r>
      <mc:AlternateContent>
        <mc:Choice Requires="wps">
          <w:drawing>
            <wp:anchor distT="0" distB="0" distL="0" distR="0" simplePos="0" relativeHeight="1024" behindDoc="0" locked="0" layoutInCell="1" allowOverlap="1">
              <wp:simplePos x="0" y="0"/>
              <wp:positionH relativeFrom="margin">
                <wp:align>outside</wp:align>
              </wp:positionH>
              <wp:positionV relativeFrom="paragraph">
                <wp:align>top</wp:align>
              </wp:positionV>
              <wp:extent cx="9525" cy="233680"/>
              <wp:effectExtent l="0" t="0" r="0" b="0"/>
              <wp:wrapSquare wrapText="bothSides"/>
              <wp:docPr id="1" name="文本框 1"/>
              <wp:cNvGraphicFramePr/>
              <a:graphic xmlns:a="http://schemas.openxmlformats.org/drawingml/2006/main">
                <a:graphicData uri="http://schemas.microsoft.com/office/word/2010/wordprocessingShape">
                  <wps:wsp>
                    <wps:cNvSpPr/>
                    <wps:spPr>
                      <a:xfrm>
                        <a:off x="0" y="0"/>
                        <a:ext cx="9524" cy="233883"/>
                      </a:xfrm>
                      <a:prstGeom prst="rect">
                        <a:avLst/>
                      </a:prstGeom>
                      <a:noFill/>
                      <a:ln w="9525" cmpd="sng">
                        <a:noFill/>
                        <a:prstDash val="solid"/>
                        <a:miter/>
                      </a:ln>
                    </wps:spPr>
                    <wps:txbx>
                      <w:txbxContent>
                        <w:p/>
                      </w:txbxContent>
                    </wps:txbx>
                    <wps:bodyPr vert="horz" wrap="none" lIns="0" tIns="0" rIns="0" bIns="0" anchor="t" anchorCtr="0" upright="1">
                      <a:spAutoFit/>
                    </wps:bodyPr>
                  </wps:wsp>
                </a:graphicData>
              </a:graphic>
            </wp:anchor>
          </w:drawing>
        </mc:Choice>
        <mc:Fallback>
          <w:pict>
            <v:rect id="文本框 1" o:spid="_x0000_s1026" o:spt="1" style="position:absolute;left:0pt;height:18.4pt;width:0.75pt;mso-position-horizontal:outside;mso-position-horizontal-relative:margin;mso-position-vertical:top;mso-wrap-distance-bottom:0pt;mso-wrap-distance-left:0pt;mso-wrap-distance-right:0pt;mso-wrap-distance-top:0pt;mso-wrap-style:none;z-index:1024;mso-width-relative:page;mso-height-relative:page;" filled="f" stroked="f" coordsize="21600,21600" o:gfxdata="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vR23YtEAAAACAQAADwAAAAAAAAAB&#10;ACAAAAAiAAAAZHJzL2Rvd25yZXYueG1sUEsBAhQAFAAAAAgAh07iQCZ+Ev3eAQAAmQMAAA4AAAAA&#10;AAAAAQAgAAAAIAEAAGRycy9lMm9Eb2MueG1sUEsFBgAAAAAGAAYAWQEAAHAFAAAAAA==&#10;">
              <v:fill on="f" focussize="0,0"/>
              <v:stroke on="f" joinstyle="miter"/>
              <v:imagedata o:title=""/>
              <o:lock v:ext="edit" aspectratio="f"/>
              <v:textbox inset="0mm,0mm,0mm,0mm" style="mso-fit-shape-to-text:t;">
                <w:txbxContent>
                  <w:p/>
                </w:txbxContent>
              </v:textbox>
              <w10:wrap type="square"/>
            </v:rect>
          </w:pict>
        </mc:Fallback>
      </mc:AlternateContent>
    </w:r>
    <w:r>
      <mc:AlternateContent>
        <mc:Choice Requires="wps">
          <w:drawing>
            <wp:anchor distT="0" distB="0" distL="0" distR="0" simplePos="0" relativeHeight="1024" behindDoc="0" locked="0" layoutInCell="1" allowOverlap="1">
              <wp:simplePos x="0" y="0"/>
              <wp:positionH relativeFrom="page">
                <wp:posOffset>5862320</wp:posOffset>
              </wp:positionH>
              <wp:positionV relativeFrom="paragraph">
                <wp:posOffset>-1270</wp:posOffset>
              </wp:positionV>
              <wp:extent cx="681990" cy="233680"/>
              <wp:effectExtent l="0" t="0" r="0" b="0"/>
              <wp:wrapSquare wrapText="bothSides"/>
              <wp:docPr id="3" name="文本框 3"/>
              <wp:cNvGraphicFramePr/>
              <a:graphic xmlns:a="http://schemas.openxmlformats.org/drawingml/2006/main">
                <a:graphicData uri="http://schemas.microsoft.com/office/word/2010/wordprocessingShape">
                  <wps:wsp>
                    <wps:cNvSpPr/>
                    <wps:spPr>
                      <a:xfrm>
                        <a:off x="0" y="0"/>
                        <a:ext cx="681989" cy="233883"/>
                      </a:xfrm>
                      <a:prstGeom prst="rect">
                        <a:avLst/>
                      </a:prstGeom>
                      <a:noFill/>
                      <a:ln w="9525" cmpd="sng">
                        <a:noFill/>
                        <a:prstDash val="solid"/>
                        <a:miter/>
                      </a:ln>
                    </wps:spPr>
                    <wps:txbx>
                      <w:txbxContent>
                        <w:p/>
                      </w:txbxContent>
                    </wps:txbx>
                    <wps:bodyPr vert="horz" wrap="square" lIns="0" tIns="0" rIns="0" bIns="0" anchor="t" anchorCtr="0" upright="1">
                      <a:spAutoFit/>
                    </wps:bodyPr>
                  </wps:wsp>
                </a:graphicData>
              </a:graphic>
            </wp:anchor>
          </w:drawing>
        </mc:Choice>
        <mc:Fallback>
          <w:pict>
            <v:rect id="文本框 3" o:spid="_x0000_s1026" o:spt="1" style="position:absolute;left:0pt;margin-left:461.6pt;margin-top:-0.1pt;height:18.4pt;width:53.7pt;mso-position-horizontal-relative:page;mso-wrap-distance-bottom:0pt;mso-wrap-distance-left:0pt;mso-wrap-distance-right:0pt;mso-wrap-distance-top:0pt;z-index:1024;mso-width-relative:page;mso-height-relative:page;" filled="f" stroked="f" coordsize="21600,21600" o:gfxdata="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uiqUZ2AAA&#10;AAkBAAAPAAAAAAAAAAEAIAAAACIAAABkcnMvZG93bnJldi54bWxQSwECFAAUAAAACACHTuJANC9d&#10;BeUBAACdAwAADgAAAAAAAAABACAAAAAnAQAAZHJzL2Uyb0RvYy54bWxQSwUGAAAAAAYABgBZAQAA&#10;fgUAAAAA&#10;">
              <v:fill on="f" focussize="0,0"/>
              <v:stroke on="f" joinstyle="miter"/>
              <v:imagedata o:title=""/>
              <o:lock v:ext="edit" aspectratio="f"/>
              <v:textbox inset="0mm,0mm,0mm,0mm" style="mso-fit-shape-to-text:t;">
                <w:txbxContent>
                  <w:p/>
                </w:txbxContent>
              </v:textbox>
              <w10:wrap type="square"/>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rPr>
        <w:rStyle w:val="10"/>
        <w:rFonts w:hint="eastAsia"/>
        <w:sz w:val="28"/>
      </w:rPr>
    </w:pPr>
    <w:r>
      <mc:AlternateContent>
        <mc:Choice Requires="wps">
          <w:drawing>
            <wp:anchor distT="0" distB="0" distL="0" distR="0" simplePos="0" relativeHeight="1024" behindDoc="0" locked="0" layoutInCell="1" allowOverlap="1">
              <wp:simplePos x="0" y="0"/>
              <wp:positionH relativeFrom="margin">
                <wp:align>outside</wp:align>
              </wp:positionH>
              <wp:positionV relativeFrom="paragraph">
                <wp:align>top</wp:align>
              </wp:positionV>
              <wp:extent cx="9525" cy="233680"/>
              <wp:effectExtent l="0" t="0" r="0" b="0"/>
              <wp:wrapSquare wrapText="bothSides"/>
              <wp:docPr id="5" name="文本框 5"/>
              <wp:cNvGraphicFramePr/>
              <a:graphic xmlns:a="http://schemas.openxmlformats.org/drawingml/2006/main">
                <a:graphicData uri="http://schemas.microsoft.com/office/word/2010/wordprocessingShape">
                  <wps:wsp>
                    <wps:cNvSpPr/>
                    <wps:spPr>
                      <a:xfrm>
                        <a:off x="0" y="0"/>
                        <a:ext cx="9524" cy="233883"/>
                      </a:xfrm>
                      <a:prstGeom prst="rect">
                        <a:avLst/>
                      </a:prstGeom>
                      <a:noFill/>
                      <a:ln w="9525" cmpd="sng">
                        <a:noFill/>
                        <a:prstDash val="solid"/>
                        <a:miter/>
                      </a:ln>
                    </wps:spPr>
                    <wps:txbx>
                      <w:txbxContent>
                        <w:p/>
                      </w:txbxContent>
                    </wps:txbx>
                    <wps:bodyPr vert="horz" wrap="none" lIns="0" tIns="0" rIns="0" bIns="0" anchor="t" anchorCtr="0" upright="1">
                      <a:spAutoFit/>
                    </wps:bodyPr>
                  </wps:wsp>
                </a:graphicData>
              </a:graphic>
            </wp:anchor>
          </w:drawing>
        </mc:Choice>
        <mc:Fallback>
          <w:pict>
            <v:rect id="文本框 5" o:spid="_x0000_s1026" o:spt="1" style="position:absolute;left:0pt;height:18.4pt;width:0.75pt;mso-position-horizontal:outside;mso-position-horizontal-relative:margin;mso-position-vertical:top;mso-wrap-distance-bottom:0pt;mso-wrap-distance-left:0pt;mso-wrap-distance-right:0pt;mso-wrap-distance-top:0pt;mso-wrap-style:none;z-index:1024;mso-width-relative:page;mso-height-relative:page;" filled="f" stroked="f" coordsize="21600,21600" o:gfxdata="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vR23YtEAAAACAQAADwAAAAAAAAAB&#10;ACAAAAAiAAAAZHJzL2Rvd25yZXYueG1sUEsBAhQAFAAAAAgAh07iQJdjHr3eAQAAmQMAAA4AAAAA&#10;AAAAAQAgAAAAIAEAAGRycy9lMm9Eb2MueG1sUEsFBgAAAAAGAAYAWQEAAHAFAAAAAA==&#10;">
              <v:fill on="f" focussize="0,0"/>
              <v:stroke on="f" joinstyle="miter"/>
              <v:imagedata o:title=""/>
              <o:lock v:ext="edit" aspectratio="f"/>
              <v:textbox inset="0mm,0mm,0mm,0mm" style="mso-fit-shape-to-text:t;">
                <w:txbxContent>
                  <w:p/>
                </w:txbxContent>
              </v:textbox>
              <w10:wrap type="square"/>
            </v:rect>
          </w:pict>
        </mc:Fallback>
      </mc:AlternateContent>
    </w:r>
    <w:r>
      <mc:AlternateContent>
        <mc:Choice Requires="wps">
          <w:drawing>
            <wp:anchor distT="0" distB="0" distL="0" distR="0" simplePos="0" relativeHeight="1024" behindDoc="0" locked="0" layoutInCell="1" allowOverlap="1">
              <wp:simplePos x="0" y="0"/>
              <wp:positionH relativeFrom="margin">
                <wp:align>outside</wp:align>
              </wp:positionH>
              <wp:positionV relativeFrom="paragraph">
                <wp:posOffset>-1270</wp:posOffset>
              </wp:positionV>
              <wp:extent cx="791845" cy="233680"/>
              <wp:effectExtent l="0" t="0" r="0" b="0"/>
              <wp:wrapSquare wrapText="bothSides"/>
              <wp:docPr id="7" name="文本框 7"/>
              <wp:cNvGraphicFramePr/>
              <a:graphic xmlns:a="http://schemas.openxmlformats.org/drawingml/2006/main">
                <a:graphicData uri="http://schemas.microsoft.com/office/word/2010/wordprocessingShape">
                  <wps:wsp>
                    <wps:cNvSpPr/>
                    <wps:spPr>
                      <a:xfrm>
                        <a:off x="0" y="0"/>
                        <a:ext cx="791844" cy="233883"/>
                      </a:xfrm>
                      <a:prstGeom prst="rect">
                        <a:avLst/>
                      </a:prstGeom>
                      <a:noFill/>
                      <a:ln w="9525" cmpd="sng">
                        <a:noFill/>
                        <a:prstDash val="solid"/>
                        <a:miter/>
                      </a:ln>
                    </wps:spPr>
                    <wps:txbx>
                      <w:txbxContent>
                        <w:p/>
                      </w:txbxContent>
                    </wps:txbx>
                    <wps:bodyPr vert="horz" wrap="square" lIns="0" tIns="0" rIns="0" bIns="0" anchor="t" anchorCtr="0" upright="1">
                      <a:spAutoFit/>
                    </wps:bodyPr>
                  </wps:wsp>
                </a:graphicData>
              </a:graphic>
            </wp:anchor>
          </w:drawing>
        </mc:Choice>
        <mc:Fallback>
          <w:pict>
            <v:rect id="文本框 7" o:spid="_x0000_s1026" o:spt="1" style="position:absolute;left:0pt;margin-top:-0.1pt;height:18.4pt;width:62.35pt;mso-position-horizontal:outside;mso-position-horizontal-relative:margin;mso-wrap-distance-bottom:0pt;mso-wrap-distance-left:0pt;mso-wrap-distance-right:0pt;mso-wrap-distance-top:0pt;z-index:1024;mso-width-relative:page;mso-height-relative:page;" filled="f" stroked="f" coordsize="21600,21600" o:gfxdata="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pc3BKtYAAAAF&#10;AQAADwAAAAAAAAABACAAAAAiAAAAZHJzL2Rvd25yZXYueG1sUEsBAhQAFAAAAAgAh07iQO63uErl&#10;AQAAnQMAAA4AAAAAAAAAAQAgAAAAJQEAAGRycy9lMm9Eb2MueG1sUEsFBgAAAAAGAAYAWQEAAHwF&#10;AAAAAA==&#10;">
              <v:fill on="f" focussize="0,0"/>
              <v:stroke on="f" joinstyle="miter"/>
              <v:imagedata o:title=""/>
              <o:lock v:ext="edit" aspectratio="f"/>
              <v:textbox inset="0mm,0mm,0mm,0mm" style="mso-fit-shape-to-text:t;">
                <w:txbxContent>
                  <w:p/>
                </w:txbxContent>
              </v:textbox>
              <w10:wrap type="square"/>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trackRevisions w:val="1"/>
  <w:documentProtection w:enforcement="0"/>
  <w:defaultTabStop w:val="420"/>
  <w:evenAndOddHeaders w:val="1"/>
  <w:drawingGridHorizontalSpacing w:val="156"/>
  <w:drawingGridVerticalSpacing w:val="579"/>
  <w:displayHorizontalDrawingGridEvery w:val="0"/>
  <w:displayVerticalDrawingGridEvery w:val="1"/>
  <w:characterSpacingControl w:val="compressPunctuation"/>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rsids>
    <w:rsidRoot w:val="00000000"/>
    <w:rsid w:val="48C42E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Date"/>
    <w:basedOn w:val="1"/>
    <w:next w:val="1"/>
    <w:qFormat/>
    <w:uiPriority w:val="0"/>
    <w:pPr>
      <w:ind w:left="2500" w:leftChars="2500"/>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rPr>
  </w:style>
  <w:style w:type="character" w:styleId="9">
    <w:name w:val="Strong"/>
    <w:basedOn w:val="8"/>
    <w:qFormat/>
    <w:uiPriority w:val="0"/>
    <w:rPr>
      <w:b/>
    </w:rPr>
  </w:style>
  <w:style w:type="character" w:styleId="10">
    <w:name w:val="page number"/>
    <w:basedOn w:val="8"/>
    <w:qFormat/>
    <w:uiPriority w:val="0"/>
  </w:style>
  <w:style w:type="paragraph" w:customStyle="1" w:styleId="11">
    <w:name w:val="Normal New"/>
    <w:qFormat/>
    <w:uiPriority w:val="0"/>
    <w:pPr>
      <w:jc w:val="both"/>
    </w:pPr>
    <w:rPr>
      <w:rFonts w:ascii="Times New Roman" w:hAnsi="Times New Roman" w:eastAsia="宋体" w:cs="Times New Roman"/>
      <w:kern w:val="2"/>
      <w:sz w:val="21"/>
      <w:lang w:val="en-US" w:eastAsia="zh-CN" w:bidi="ar-SA"/>
    </w:rPr>
  </w:style>
  <w:style w:type="paragraph" w:customStyle="1" w:styleId="12">
    <w:name w:val="Normal"/>
    <w:qFormat/>
    <w:uiPriority w:val="0"/>
    <w:pPr>
      <w:jc w:val="both"/>
    </w:pPr>
    <w:rPr>
      <w:rFonts w:ascii="Times New Roman" w:hAnsi="Times New Roman" w:eastAsia="宋体" w:cs="Times New Roman"/>
      <w:kern w:val="2"/>
      <w:sz w:val="21"/>
      <w:lang w:val="en-US" w:eastAsia="zh-CN" w:bidi="ar-SA"/>
    </w:rPr>
  </w:style>
  <w:style w:type="paragraph" w:customStyle="1" w:styleId="1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正文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5">
    <w:name w:val="p0"/>
    <w:basedOn w:val="1"/>
    <w:qFormat/>
    <w:uiPriority w:val="0"/>
    <w:pPr>
      <w:widowControl/>
    </w:pPr>
    <w:rPr>
      <w:rFonts w:eastAsia="宋体"/>
      <w:kern w:val="0"/>
      <w:szCs w:val="32"/>
    </w:rPr>
  </w:style>
  <w:style w:type="paragraph" w:customStyle="1" w:styleId="16">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TotalTime>0</TotalTime>
  <ScaleCrop>false</ScaleCrop>
  <LinksUpToDate>false</LinksUpToDate>
  <Application>WPS Office_11.8.2.8808_F1E327BC-269C-435d-A152-05C5408002CA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2020-09-25T07:45:30Z</dcterms:created>
  <dc:creator>hp2</dc:creator>
  <cp:lastModifiedBy>陈巧云</cp:lastModifiedBy>
  <dcterms:modified xsi:type="dcterms:W3CDTF">2020-09-25T07:45:39Z</dcterms:modified>
  <dc:title>关于《惠州市市级国有资本经营预算管理</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