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_GB2312" w:hAnsi="宋体" w:eastAsia="仿宋_GB2312"/>
          <w:b/>
          <w:sz w:val="28"/>
          <w:szCs w:val="28"/>
        </w:rPr>
      </w:pPr>
      <w:r>
        <w:rPr>
          <w:rFonts w:hint="eastAsia" w:ascii="仿宋_GB2312" w:hAnsi="宋体" w:eastAsia="仿宋_GB2312"/>
          <w:b/>
          <w:sz w:val="28"/>
          <w:szCs w:val="28"/>
        </w:rPr>
        <w:t>附件</w:t>
      </w:r>
      <w:r>
        <w:rPr>
          <w:rFonts w:hint="eastAsia" w:ascii="仿宋_GB2312" w:hAnsi="宋体" w:eastAsia="仿宋_GB2312"/>
          <w:b/>
          <w:sz w:val="28"/>
          <w:szCs w:val="28"/>
          <w:lang w:val="en-US" w:eastAsia="zh-CN"/>
        </w:rPr>
        <w:t>1</w:t>
      </w:r>
    </w:p>
    <w:p>
      <w:pPr>
        <w:spacing w:line="360" w:lineRule="auto"/>
        <w:jc w:val="center"/>
        <w:rPr>
          <w:rFonts w:hint="eastAsia" w:ascii="仿宋_GB2312" w:hAnsi="宋体" w:eastAsia="仿宋_GB2312"/>
          <w:b/>
          <w:sz w:val="44"/>
          <w:szCs w:val="44"/>
        </w:rPr>
      </w:pPr>
      <w:bookmarkStart w:id="0" w:name="_GoBack"/>
      <w:bookmarkEnd w:id="0"/>
      <w:r>
        <w:rPr>
          <w:rFonts w:hint="eastAsia" w:ascii="仿宋_GB2312" w:hAnsi="宋体" w:eastAsia="仿宋_GB2312"/>
          <w:b/>
          <w:sz w:val="44"/>
          <w:szCs w:val="44"/>
        </w:rPr>
        <w:t>抽检项目</w:t>
      </w:r>
      <w:r>
        <w:rPr>
          <w:rFonts w:hint="eastAsia" w:ascii="仿宋_GB2312" w:hAnsi="宋体" w:eastAsia="仿宋_GB2312"/>
          <w:b/>
          <w:sz w:val="44"/>
          <w:szCs w:val="44"/>
          <w:lang w:eastAsia="zh-CN"/>
        </w:rPr>
        <w:t>和依据</w:t>
      </w:r>
    </w:p>
    <w:p>
      <w:pPr>
        <w:spacing w:line="360" w:lineRule="auto"/>
        <w:jc w:val="center"/>
        <w:rPr>
          <w:rFonts w:ascii="仿宋_GB2312" w:hAnsi="宋体" w:eastAsia="仿宋_GB2312"/>
          <w:b/>
          <w:sz w:val="44"/>
          <w:szCs w:val="44"/>
        </w:rPr>
      </w:pP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谷物粉类制成品（生湿面制品、米粉制品）</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食品整治办〔2008〕3 号 全国打击违法添加非食用物质和滥用食品添加剂专项整治领导小组关于印发《食品中可能违法添加的非食用物质和易滥用的食品添加剂品种名单（第一批）》的通知</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甲醛次硫酸氢钠（以甲醛计）、甜蜜素、苯甲酸及其钠盐（以苯甲酸计）、山梨酸及其钾盐（以山梨酸计）、二氧化钛</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熟肉制品（自制）</w:t>
      </w:r>
    </w:p>
    <w:p>
      <w:pPr>
        <w:spacing w:line="360" w:lineRule="auto"/>
        <w:ind w:firstLine="420" w:firstLineChars="15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420" w:firstLineChars="150"/>
        <w:rPr>
          <w:rFonts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vertAlign w:val="subscript"/>
        </w:rPr>
      </w:pPr>
      <w:r>
        <w:rPr>
          <w:rFonts w:hint="eastAsia" w:ascii="仿宋_GB2312" w:hAnsi="宋体" w:eastAsia="仿宋_GB2312"/>
          <w:sz w:val="28"/>
          <w:szCs w:val="28"/>
        </w:rPr>
        <w:t>沙门氏菌、单核细胞增生李斯特菌、大肠埃希氏菌O</w:t>
      </w:r>
      <w:r>
        <w:rPr>
          <w:rFonts w:hint="eastAsia" w:ascii="仿宋_GB2312" w:hAnsi="宋体" w:eastAsia="仿宋_GB2312"/>
          <w:sz w:val="28"/>
          <w:szCs w:val="28"/>
          <w:vertAlign w:val="subscript"/>
        </w:rPr>
        <w:t>157</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畜禽肉</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2707 食品安全国家标准 鲜（冻）畜、禽产品</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农业部公告第 235 号 动物性食品中兽药最高残留限量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克伦特罗、莱克多巴胺、沙丁胺醇、氯霉素、恩诺沙星（以恩诺沙星与环丙沙星之和计）、磺胺类（总量）</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食用植物油（半精炼、全精炼）</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GB 2716 食用植物油卫生标准</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840" w:firstLineChars="30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总砷（以As计）、铅（以Pb计）、酸值/酸价、过氧化值、苯并[a]芘、溶剂残留量、黄曲霉毒素B1</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大米</w:t>
      </w:r>
    </w:p>
    <w:p>
      <w:pPr>
        <w:pStyle w:val="23"/>
        <w:numPr>
          <w:ilvl w:val="0"/>
          <w:numId w:val="2"/>
        </w:numPr>
        <w:spacing w:line="360" w:lineRule="auto"/>
        <w:ind w:firstLineChars="0"/>
        <w:rPr>
          <w:rFonts w:hint="eastAsia" w:ascii="仿宋_GB2312" w:hAnsi="宋体" w:eastAsia="仿宋_GB2312"/>
          <w:sz w:val="28"/>
          <w:szCs w:val="28"/>
        </w:rPr>
      </w:pPr>
      <w:r>
        <w:rPr>
          <w:rFonts w:hint="eastAsia" w:ascii="仿宋_GB2312" w:hAnsi="宋体" w:eastAsia="仿宋_GB2312"/>
          <w:sz w:val="28"/>
          <w:szCs w:val="28"/>
        </w:rPr>
        <w:t>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2763 食品安全国家标准 食品中农药最大残留限量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相关的法律法规、部门规章和规定</w:t>
      </w:r>
    </w:p>
    <w:p>
      <w:pPr>
        <w:pStyle w:val="23"/>
        <w:numPr>
          <w:ilvl w:val="0"/>
          <w:numId w:val="2"/>
        </w:numPr>
        <w:spacing w:line="360" w:lineRule="auto"/>
        <w:ind w:firstLineChars="0"/>
        <w:rPr>
          <w:rFonts w:hint="eastAsia" w:ascii="仿宋_GB2312" w:hAnsi="宋体" w:eastAsia="仿宋_GB2312"/>
          <w:sz w:val="28"/>
          <w:szCs w:val="28"/>
        </w:rPr>
      </w:pPr>
      <w:r>
        <w:rPr>
          <w:rFonts w:hint="eastAsia" w:ascii="仿宋_GB2312" w:hAnsi="宋体" w:eastAsia="仿宋_GB2312"/>
          <w:sz w:val="28"/>
          <w:szCs w:val="28"/>
        </w:rPr>
        <w:t>检验项目</w:t>
      </w:r>
    </w:p>
    <w:p>
      <w:pPr>
        <w:spacing w:line="360" w:lineRule="auto"/>
        <w:ind w:firstLine="560" w:firstLineChars="200"/>
        <w:rPr>
          <w:rFonts w:hint="eastAsia" w:ascii="宋体" w:hAnsi="宋体"/>
          <w:szCs w:val="21"/>
        </w:rPr>
      </w:pPr>
      <w:r>
        <w:rPr>
          <w:rFonts w:hint="eastAsia" w:ascii="仿宋_GB2312" w:hAnsi="宋体" w:eastAsia="仿宋_GB2312"/>
          <w:sz w:val="28"/>
          <w:szCs w:val="28"/>
        </w:rPr>
        <w:t>铅（以Pb计）、镉（以Cd计）、总汞（以Hg计）、无机砷（以As计）、铬（以Cr计）、黄曲霉毒素B1、赭曲霉毒素A</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复用餐饮具</w:t>
      </w:r>
    </w:p>
    <w:p>
      <w:pPr>
        <w:pStyle w:val="23"/>
        <w:spacing w:line="360" w:lineRule="auto"/>
        <w:ind w:left="720" w:firstLine="0" w:firstLineChars="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14934  食品安全国家标准 消毒餐（饮）具</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700" w:firstLineChars="25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游离性余氯、金黄色葡萄球菌、沙门氏菌、志贺氏菌</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小麦粉制品（自制）（发酵面制品、油炸面制品）</w:t>
      </w:r>
    </w:p>
    <w:p>
      <w:pPr>
        <w:pStyle w:val="23"/>
        <w:spacing w:line="360" w:lineRule="auto"/>
        <w:ind w:left="720" w:firstLine="0" w:firstLineChars="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卫生部、国家食品药品监督管理局 2012 年第 10 号公告</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食品整治办〔2008〕3 号 全国打击违法添加非食用物质和滥用食品添加剂专项整治领导小组关于印发《食品中可能违法添加的非食用物质和易滥用的食品添加剂品种名单（第一批）》的通知</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甲醛次硫酸氢钠（以甲醛计）、甜蜜素、苯甲酸及其钠盐（以苯甲酸计）、山梨酸及其钾盐（以山梨酸计）、二氧化钛铝的残留量（干样品，以Al计）</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糕点</w:t>
      </w:r>
    </w:p>
    <w:p>
      <w:pPr>
        <w:pStyle w:val="23"/>
        <w:spacing w:line="360" w:lineRule="auto"/>
        <w:ind w:left="720" w:firstLine="0" w:firstLineChars="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食品整治办〔2009〕5 号全国打击违法添加非食用物质和滥用食品添加剂专项整治领导小组关于印发《食品中可能违法添加的非食用物质名单（第二批）》的通知</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铝的残留量（干样品，以Al计）、酸价（以脂肪计）（仅适用于配料中添加油脂的产品）、过氧化值（以脂肪计）（仅适用于配料中添加油脂的产品）、苯甲酸及其钠盐（以苯甲酸计）、山梨酸及其钾盐（以山梨酸计）、糖精钠（以糖精计）、甜蜜素、安赛蜜、脱氢乙酸、纳他霉素、防腐剂混合使用时各自用量占其最大使用量比例之和</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炒货食品及坚果制品</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19300 食品安全国家标准 坚果与籽类食品</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糖精钠（以糖精计）、甜蜜素、二氧化硫残留量、滑石粉、黄曲霉毒素B1、大肠菌群、霉菌、沙门氏菌</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膨化食品</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糖精钠（以糖精计）、苯甲酸及其钠盐（以苯甲酸计）、山梨酸及其钾盐（以山梨酸计）、菌落总数、大肠菌群</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蜜饯</w:t>
      </w:r>
    </w:p>
    <w:p>
      <w:pPr>
        <w:pStyle w:val="23"/>
        <w:spacing w:line="360" w:lineRule="auto"/>
        <w:ind w:left="720" w:firstLine="0" w:firstLineChars="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14884 食品安全国家标准 蜜饯</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苯甲酸及其钠盐（以苯甲酸计）、山梨酸及其钾盐（以山梨酸计）、糖精钠（以糖精计）、甜蜜素、二氧化硫残留量、合成着色剂（柠檬黄、苋菜红、胭脂红、日落黄、亮蓝）、防腐剂混合使用时各自用量占其最大使用量的比例之和、菌落总数、大肠菌群、沙门氏菌、金黄色葡萄球菌、霉菌</w:t>
      </w: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饼干</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7100 食品安全国家标准 饼干</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经备案现行有效的企业标准及产品明示质量要求</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相关的法律法规、部门规章和规定</w:t>
      </w:r>
    </w:p>
    <w:p>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苯甲酸及其钠盐、山梨酸及其钾盐、糖精钠、甜蜜素、铝残留量（干样品，以Al计）、二氧化硫残留量、菌落总数、大肠菌群、霉菌计数、致病菌（沙门氏菌、金黄色葡萄球菌）</w:t>
      </w:r>
    </w:p>
    <w:sectPr>
      <w:pgSz w:w="11906" w:h="16838"/>
      <w:pgMar w:top="1440" w:right="85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00000287" w:usb1="00000000"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555A4"/>
    <w:multiLevelType w:val="multilevel"/>
    <w:tmpl w:val="25F555A4"/>
    <w:lvl w:ilvl="0" w:tentative="0">
      <w:start w:val="1"/>
      <w:numFmt w:val="japaneseCounting"/>
      <w:lvlText w:val="（%1）"/>
      <w:lvlJc w:val="left"/>
      <w:pPr>
        <w:ind w:left="1445" w:hanging="885"/>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4C4377AA"/>
    <w:multiLevelType w:val="multilevel"/>
    <w:tmpl w:val="4C4377A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62645"/>
    <w:rsid w:val="0000448A"/>
    <w:rsid w:val="0001291A"/>
    <w:rsid w:val="000268E1"/>
    <w:rsid w:val="00033670"/>
    <w:rsid w:val="000554DA"/>
    <w:rsid w:val="000608D0"/>
    <w:rsid w:val="0006650D"/>
    <w:rsid w:val="000709B1"/>
    <w:rsid w:val="000738BF"/>
    <w:rsid w:val="00086118"/>
    <w:rsid w:val="000871E5"/>
    <w:rsid w:val="00090D8F"/>
    <w:rsid w:val="0009260C"/>
    <w:rsid w:val="00094DDC"/>
    <w:rsid w:val="000A2857"/>
    <w:rsid w:val="000A4C38"/>
    <w:rsid w:val="000B0846"/>
    <w:rsid w:val="000B0886"/>
    <w:rsid w:val="000C5532"/>
    <w:rsid w:val="000D3450"/>
    <w:rsid w:val="000D5F91"/>
    <w:rsid w:val="000D7463"/>
    <w:rsid w:val="000E0899"/>
    <w:rsid w:val="000E6444"/>
    <w:rsid w:val="00110073"/>
    <w:rsid w:val="00114A44"/>
    <w:rsid w:val="00117B2D"/>
    <w:rsid w:val="00120F22"/>
    <w:rsid w:val="00135221"/>
    <w:rsid w:val="001413FB"/>
    <w:rsid w:val="00145177"/>
    <w:rsid w:val="00145ACA"/>
    <w:rsid w:val="00160905"/>
    <w:rsid w:val="00164A06"/>
    <w:rsid w:val="00170484"/>
    <w:rsid w:val="00192ED6"/>
    <w:rsid w:val="001966DF"/>
    <w:rsid w:val="001A27F2"/>
    <w:rsid w:val="001A4399"/>
    <w:rsid w:val="001A5B51"/>
    <w:rsid w:val="001A702D"/>
    <w:rsid w:val="001B36F3"/>
    <w:rsid w:val="001D2780"/>
    <w:rsid w:val="001D764D"/>
    <w:rsid w:val="001E1C45"/>
    <w:rsid w:val="001E4C44"/>
    <w:rsid w:val="001E70B3"/>
    <w:rsid w:val="001F1311"/>
    <w:rsid w:val="001F495C"/>
    <w:rsid w:val="001F5995"/>
    <w:rsid w:val="0020074E"/>
    <w:rsid w:val="00215265"/>
    <w:rsid w:val="00227A91"/>
    <w:rsid w:val="00230533"/>
    <w:rsid w:val="0023091A"/>
    <w:rsid w:val="00236312"/>
    <w:rsid w:val="0024522E"/>
    <w:rsid w:val="00247373"/>
    <w:rsid w:val="00250ECC"/>
    <w:rsid w:val="0025384A"/>
    <w:rsid w:val="00253C8B"/>
    <w:rsid w:val="002724EE"/>
    <w:rsid w:val="00272EE1"/>
    <w:rsid w:val="00282822"/>
    <w:rsid w:val="00283578"/>
    <w:rsid w:val="002856FD"/>
    <w:rsid w:val="00285E5F"/>
    <w:rsid w:val="00286BB6"/>
    <w:rsid w:val="00293F00"/>
    <w:rsid w:val="00294572"/>
    <w:rsid w:val="00294926"/>
    <w:rsid w:val="002A29D5"/>
    <w:rsid w:val="002A4C39"/>
    <w:rsid w:val="002A5DFF"/>
    <w:rsid w:val="002B006C"/>
    <w:rsid w:val="002B1AA0"/>
    <w:rsid w:val="002C1293"/>
    <w:rsid w:val="002C1766"/>
    <w:rsid w:val="002C46F4"/>
    <w:rsid w:val="002C55B1"/>
    <w:rsid w:val="002C5A72"/>
    <w:rsid w:val="002D1372"/>
    <w:rsid w:val="002D5BB3"/>
    <w:rsid w:val="002D78FA"/>
    <w:rsid w:val="002F556A"/>
    <w:rsid w:val="00306CAF"/>
    <w:rsid w:val="00311B1A"/>
    <w:rsid w:val="00325275"/>
    <w:rsid w:val="003340F1"/>
    <w:rsid w:val="00340407"/>
    <w:rsid w:val="003451B5"/>
    <w:rsid w:val="0035116B"/>
    <w:rsid w:val="003546BA"/>
    <w:rsid w:val="0037364B"/>
    <w:rsid w:val="00376B4E"/>
    <w:rsid w:val="0038237A"/>
    <w:rsid w:val="00385803"/>
    <w:rsid w:val="003A4E60"/>
    <w:rsid w:val="003B4E3A"/>
    <w:rsid w:val="003C0281"/>
    <w:rsid w:val="003C4235"/>
    <w:rsid w:val="003C731D"/>
    <w:rsid w:val="003D5A6E"/>
    <w:rsid w:val="003E3F35"/>
    <w:rsid w:val="003E6366"/>
    <w:rsid w:val="004004C3"/>
    <w:rsid w:val="00402FC4"/>
    <w:rsid w:val="004230F5"/>
    <w:rsid w:val="0042578C"/>
    <w:rsid w:val="0043213E"/>
    <w:rsid w:val="00437D1A"/>
    <w:rsid w:val="0044351B"/>
    <w:rsid w:val="00446BCE"/>
    <w:rsid w:val="00460F98"/>
    <w:rsid w:val="00465FC2"/>
    <w:rsid w:val="00477821"/>
    <w:rsid w:val="00481596"/>
    <w:rsid w:val="0048676C"/>
    <w:rsid w:val="00486828"/>
    <w:rsid w:val="00491CF0"/>
    <w:rsid w:val="004A1062"/>
    <w:rsid w:val="004A309D"/>
    <w:rsid w:val="004A332D"/>
    <w:rsid w:val="004A5F4C"/>
    <w:rsid w:val="004C3F29"/>
    <w:rsid w:val="004C60D1"/>
    <w:rsid w:val="004D4B97"/>
    <w:rsid w:val="004E0E47"/>
    <w:rsid w:val="004E1F06"/>
    <w:rsid w:val="005105D6"/>
    <w:rsid w:val="005125BD"/>
    <w:rsid w:val="0052370F"/>
    <w:rsid w:val="00533666"/>
    <w:rsid w:val="00557D60"/>
    <w:rsid w:val="00557FD3"/>
    <w:rsid w:val="00574CD0"/>
    <w:rsid w:val="00577C03"/>
    <w:rsid w:val="00580415"/>
    <w:rsid w:val="0058483A"/>
    <w:rsid w:val="0059334B"/>
    <w:rsid w:val="005A4EA4"/>
    <w:rsid w:val="005A544A"/>
    <w:rsid w:val="005A6D65"/>
    <w:rsid w:val="005B03F7"/>
    <w:rsid w:val="005B30AC"/>
    <w:rsid w:val="005E1532"/>
    <w:rsid w:val="005E2D45"/>
    <w:rsid w:val="005E57BB"/>
    <w:rsid w:val="005E6C55"/>
    <w:rsid w:val="005F02B0"/>
    <w:rsid w:val="005F42B2"/>
    <w:rsid w:val="005F52C2"/>
    <w:rsid w:val="00604B2B"/>
    <w:rsid w:val="00605EC4"/>
    <w:rsid w:val="00616DBB"/>
    <w:rsid w:val="00617571"/>
    <w:rsid w:val="00633258"/>
    <w:rsid w:val="00651894"/>
    <w:rsid w:val="00664DC5"/>
    <w:rsid w:val="00677BD1"/>
    <w:rsid w:val="00683B5C"/>
    <w:rsid w:val="00683E97"/>
    <w:rsid w:val="00694F24"/>
    <w:rsid w:val="0069554A"/>
    <w:rsid w:val="006967D1"/>
    <w:rsid w:val="00697F6C"/>
    <w:rsid w:val="006A3083"/>
    <w:rsid w:val="006B5E59"/>
    <w:rsid w:val="006C4CE7"/>
    <w:rsid w:val="006C64D1"/>
    <w:rsid w:val="006C7D5B"/>
    <w:rsid w:val="006D02E3"/>
    <w:rsid w:val="006D0F20"/>
    <w:rsid w:val="006D697E"/>
    <w:rsid w:val="006D7FD3"/>
    <w:rsid w:val="006E0C4A"/>
    <w:rsid w:val="006E0E1D"/>
    <w:rsid w:val="006E4787"/>
    <w:rsid w:val="00700A7F"/>
    <w:rsid w:val="00700CAD"/>
    <w:rsid w:val="0070501B"/>
    <w:rsid w:val="00712E37"/>
    <w:rsid w:val="00727B64"/>
    <w:rsid w:val="00736A5F"/>
    <w:rsid w:val="00740003"/>
    <w:rsid w:val="007537A3"/>
    <w:rsid w:val="00761FF0"/>
    <w:rsid w:val="00765776"/>
    <w:rsid w:val="00773494"/>
    <w:rsid w:val="007834DA"/>
    <w:rsid w:val="007878B9"/>
    <w:rsid w:val="00791B44"/>
    <w:rsid w:val="0079371F"/>
    <w:rsid w:val="007A074C"/>
    <w:rsid w:val="007A35B2"/>
    <w:rsid w:val="007A37B9"/>
    <w:rsid w:val="007B4CD6"/>
    <w:rsid w:val="007F656C"/>
    <w:rsid w:val="007F70F1"/>
    <w:rsid w:val="00803590"/>
    <w:rsid w:val="00803932"/>
    <w:rsid w:val="00812E8B"/>
    <w:rsid w:val="0082351E"/>
    <w:rsid w:val="00826CE0"/>
    <w:rsid w:val="00832B49"/>
    <w:rsid w:val="00836100"/>
    <w:rsid w:val="00837C8B"/>
    <w:rsid w:val="00843314"/>
    <w:rsid w:val="0084605E"/>
    <w:rsid w:val="00847FA0"/>
    <w:rsid w:val="0085636F"/>
    <w:rsid w:val="00861440"/>
    <w:rsid w:val="00862A09"/>
    <w:rsid w:val="00870575"/>
    <w:rsid w:val="00870F67"/>
    <w:rsid w:val="0087465A"/>
    <w:rsid w:val="00874BBE"/>
    <w:rsid w:val="00880B9F"/>
    <w:rsid w:val="00881AA7"/>
    <w:rsid w:val="00885DCE"/>
    <w:rsid w:val="00885E87"/>
    <w:rsid w:val="00894C98"/>
    <w:rsid w:val="00895E31"/>
    <w:rsid w:val="00896630"/>
    <w:rsid w:val="008A0155"/>
    <w:rsid w:val="008A3906"/>
    <w:rsid w:val="008B22A3"/>
    <w:rsid w:val="008C5566"/>
    <w:rsid w:val="008D4677"/>
    <w:rsid w:val="008D5067"/>
    <w:rsid w:val="008E4147"/>
    <w:rsid w:val="008E53D9"/>
    <w:rsid w:val="008E6C0A"/>
    <w:rsid w:val="008E7417"/>
    <w:rsid w:val="008F3A46"/>
    <w:rsid w:val="008F4FBE"/>
    <w:rsid w:val="009041E3"/>
    <w:rsid w:val="00904783"/>
    <w:rsid w:val="00904C15"/>
    <w:rsid w:val="009106D9"/>
    <w:rsid w:val="009138FE"/>
    <w:rsid w:val="00920F1B"/>
    <w:rsid w:val="009252E7"/>
    <w:rsid w:val="009272CD"/>
    <w:rsid w:val="00927BA7"/>
    <w:rsid w:val="00930FBF"/>
    <w:rsid w:val="009320E0"/>
    <w:rsid w:val="009351FD"/>
    <w:rsid w:val="009374C9"/>
    <w:rsid w:val="00947B76"/>
    <w:rsid w:val="0096670A"/>
    <w:rsid w:val="00975541"/>
    <w:rsid w:val="009766E6"/>
    <w:rsid w:val="00982112"/>
    <w:rsid w:val="00982DF5"/>
    <w:rsid w:val="00987151"/>
    <w:rsid w:val="009B7014"/>
    <w:rsid w:val="009C1463"/>
    <w:rsid w:val="009C346C"/>
    <w:rsid w:val="00A023ED"/>
    <w:rsid w:val="00A02F49"/>
    <w:rsid w:val="00A13961"/>
    <w:rsid w:val="00A16312"/>
    <w:rsid w:val="00A21A1A"/>
    <w:rsid w:val="00A24744"/>
    <w:rsid w:val="00A25BA5"/>
    <w:rsid w:val="00A261A5"/>
    <w:rsid w:val="00A36C32"/>
    <w:rsid w:val="00A418AB"/>
    <w:rsid w:val="00A435F4"/>
    <w:rsid w:val="00A44DB2"/>
    <w:rsid w:val="00A63722"/>
    <w:rsid w:val="00A652FB"/>
    <w:rsid w:val="00A72E06"/>
    <w:rsid w:val="00A7739B"/>
    <w:rsid w:val="00AA42CC"/>
    <w:rsid w:val="00AB7D1E"/>
    <w:rsid w:val="00AD26C7"/>
    <w:rsid w:val="00AD7EBB"/>
    <w:rsid w:val="00AE7970"/>
    <w:rsid w:val="00AF1894"/>
    <w:rsid w:val="00B104F7"/>
    <w:rsid w:val="00B26963"/>
    <w:rsid w:val="00B304C4"/>
    <w:rsid w:val="00B31F9F"/>
    <w:rsid w:val="00B40F0C"/>
    <w:rsid w:val="00B41C3F"/>
    <w:rsid w:val="00B61EFD"/>
    <w:rsid w:val="00B83FD0"/>
    <w:rsid w:val="00B92DA4"/>
    <w:rsid w:val="00B93891"/>
    <w:rsid w:val="00B94D28"/>
    <w:rsid w:val="00B963C4"/>
    <w:rsid w:val="00B9665C"/>
    <w:rsid w:val="00BA1273"/>
    <w:rsid w:val="00BA223E"/>
    <w:rsid w:val="00BA2EC7"/>
    <w:rsid w:val="00BA30F0"/>
    <w:rsid w:val="00BA5FC7"/>
    <w:rsid w:val="00BB20B4"/>
    <w:rsid w:val="00BB3895"/>
    <w:rsid w:val="00BC0CBE"/>
    <w:rsid w:val="00BC5DB3"/>
    <w:rsid w:val="00BD1FC0"/>
    <w:rsid w:val="00BD577B"/>
    <w:rsid w:val="00BE472B"/>
    <w:rsid w:val="00BF0658"/>
    <w:rsid w:val="00BF3532"/>
    <w:rsid w:val="00C17901"/>
    <w:rsid w:val="00C212DB"/>
    <w:rsid w:val="00C3007A"/>
    <w:rsid w:val="00C3413C"/>
    <w:rsid w:val="00C36C8D"/>
    <w:rsid w:val="00C609A3"/>
    <w:rsid w:val="00C61397"/>
    <w:rsid w:val="00C62645"/>
    <w:rsid w:val="00C77207"/>
    <w:rsid w:val="00C812D2"/>
    <w:rsid w:val="00C91FB4"/>
    <w:rsid w:val="00CA443C"/>
    <w:rsid w:val="00CB7695"/>
    <w:rsid w:val="00CB7750"/>
    <w:rsid w:val="00CC11F2"/>
    <w:rsid w:val="00CD36FF"/>
    <w:rsid w:val="00CD5144"/>
    <w:rsid w:val="00CE0B0B"/>
    <w:rsid w:val="00CE5E42"/>
    <w:rsid w:val="00CF551C"/>
    <w:rsid w:val="00D0271E"/>
    <w:rsid w:val="00D16235"/>
    <w:rsid w:val="00D17367"/>
    <w:rsid w:val="00D3687D"/>
    <w:rsid w:val="00D41864"/>
    <w:rsid w:val="00D42BF4"/>
    <w:rsid w:val="00D43194"/>
    <w:rsid w:val="00D44036"/>
    <w:rsid w:val="00D459A9"/>
    <w:rsid w:val="00D5111E"/>
    <w:rsid w:val="00D573A2"/>
    <w:rsid w:val="00D61429"/>
    <w:rsid w:val="00D63450"/>
    <w:rsid w:val="00D71694"/>
    <w:rsid w:val="00D730E4"/>
    <w:rsid w:val="00D7716B"/>
    <w:rsid w:val="00D86D62"/>
    <w:rsid w:val="00D92EF2"/>
    <w:rsid w:val="00DA05F4"/>
    <w:rsid w:val="00DA05FA"/>
    <w:rsid w:val="00DA3A05"/>
    <w:rsid w:val="00DA3CDA"/>
    <w:rsid w:val="00DA6952"/>
    <w:rsid w:val="00DB6DF5"/>
    <w:rsid w:val="00DC033E"/>
    <w:rsid w:val="00DC0840"/>
    <w:rsid w:val="00DC17CC"/>
    <w:rsid w:val="00DD67FC"/>
    <w:rsid w:val="00DD760C"/>
    <w:rsid w:val="00DE2774"/>
    <w:rsid w:val="00DE511E"/>
    <w:rsid w:val="00DE6B3D"/>
    <w:rsid w:val="00DF6024"/>
    <w:rsid w:val="00DF6DF3"/>
    <w:rsid w:val="00E04EDF"/>
    <w:rsid w:val="00E053A5"/>
    <w:rsid w:val="00E07229"/>
    <w:rsid w:val="00E11F54"/>
    <w:rsid w:val="00E12E2E"/>
    <w:rsid w:val="00E17CE6"/>
    <w:rsid w:val="00E20E26"/>
    <w:rsid w:val="00E23EFF"/>
    <w:rsid w:val="00E355AE"/>
    <w:rsid w:val="00E37857"/>
    <w:rsid w:val="00E43E6B"/>
    <w:rsid w:val="00E46BC7"/>
    <w:rsid w:val="00E570A5"/>
    <w:rsid w:val="00E60409"/>
    <w:rsid w:val="00E650F6"/>
    <w:rsid w:val="00E71B96"/>
    <w:rsid w:val="00E7203B"/>
    <w:rsid w:val="00E8016E"/>
    <w:rsid w:val="00E81772"/>
    <w:rsid w:val="00E919ED"/>
    <w:rsid w:val="00E925ED"/>
    <w:rsid w:val="00EA2BF8"/>
    <w:rsid w:val="00EB746A"/>
    <w:rsid w:val="00EC1EF0"/>
    <w:rsid w:val="00EC503D"/>
    <w:rsid w:val="00ED2819"/>
    <w:rsid w:val="00ED6D3E"/>
    <w:rsid w:val="00EE38A7"/>
    <w:rsid w:val="00EF57AA"/>
    <w:rsid w:val="00F05E6E"/>
    <w:rsid w:val="00F12DDD"/>
    <w:rsid w:val="00F22868"/>
    <w:rsid w:val="00F25269"/>
    <w:rsid w:val="00F5175D"/>
    <w:rsid w:val="00F53E83"/>
    <w:rsid w:val="00F64F25"/>
    <w:rsid w:val="00F82ADA"/>
    <w:rsid w:val="00F90A8E"/>
    <w:rsid w:val="00F90FCE"/>
    <w:rsid w:val="00F974E1"/>
    <w:rsid w:val="00FB32DA"/>
    <w:rsid w:val="00FC2207"/>
    <w:rsid w:val="00FD17BC"/>
    <w:rsid w:val="00FD2730"/>
    <w:rsid w:val="00FD49BE"/>
    <w:rsid w:val="00FE2A15"/>
    <w:rsid w:val="00FE304D"/>
    <w:rsid w:val="00FE622E"/>
    <w:rsid w:val="00FF33AC"/>
    <w:rsid w:val="00FF5C47"/>
    <w:rsid w:val="00FF766B"/>
    <w:rsid w:val="05045099"/>
    <w:rsid w:val="0A86420F"/>
    <w:rsid w:val="6C7856B4"/>
    <w:rsid w:val="7AB35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28"/>
    </w:rPr>
  </w:style>
  <w:style w:type="paragraph" w:styleId="3">
    <w:name w:val="Body Text Indent"/>
    <w:basedOn w:val="1"/>
    <w:qFormat/>
    <w:uiPriority w:val="0"/>
    <w:pPr>
      <w:spacing w:line="580" w:lineRule="exact"/>
      <w:ind w:firstLine="570"/>
    </w:pPr>
    <w:rPr>
      <w:rFonts w:ascii="仿宋_GB2312" w:eastAsia="仿宋_GB2312"/>
      <w:sz w:val="28"/>
    </w:rPr>
  </w:style>
  <w:style w:type="paragraph" w:styleId="4">
    <w:name w:val="Plain Text"/>
    <w:basedOn w:val="1"/>
    <w:qFormat/>
    <w:uiPriority w:val="0"/>
    <w:pPr>
      <w:widowControl/>
      <w:spacing w:before="100" w:beforeAutospacing="1" w:after="100" w:afterAutospacing="1"/>
      <w:jc w:val="left"/>
    </w:pPr>
    <w:rPr>
      <w:rFonts w:ascii="宋体" w:hAnsi="宋体" w:cs="宋体"/>
      <w:kern w:val="0"/>
      <w:sz w:val="24"/>
      <w:szCs w:val="24"/>
    </w:rPr>
  </w:style>
  <w:style w:type="paragraph" w:styleId="5">
    <w:name w:val="Date"/>
    <w:basedOn w:val="1"/>
    <w:next w:val="1"/>
    <w:qFormat/>
    <w:uiPriority w:val="0"/>
    <w:rPr>
      <w:rFonts w:ascii="仿宋_GB2312" w:eastAsia="仿宋_GB2312"/>
      <w:sz w:val="28"/>
    </w:rPr>
  </w:style>
  <w:style w:type="paragraph" w:styleId="6">
    <w:name w:val="Balloon Text"/>
    <w:basedOn w:val="1"/>
    <w:link w:val="22"/>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customStyle="1" w:styleId="17">
    <w:name w:val="mm_word_url"/>
    <w:basedOn w:val="12"/>
    <w:qFormat/>
    <w:uiPriority w:val="0"/>
  </w:style>
  <w:style w:type="character" w:customStyle="1" w:styleId="18">
    <w:name w:val="highlight1"/>
    <w:basedOn w:val="12"/>
    <w:qFormat/>
    <w:uiPriority w:val="0"/>
    <w:rPr>
      <w:sz w:val="21"/>
      <w:szCs w:val="21"/>
    </w:rPr>
  </w:style>
  <w:style w:type="character" w:customStyle="1" w:styleId="19">
    <w:name w:val="style811"/>
    <w:basedOn w:val="12"/>
    <w:qFormat/>
    <w:uiPriority w:val="0"/>
    <w:rPr>
      <w:sz w:val="21"/>
      <w:szCs w:val="21"/>
    </w:rPr>
  </w:style>
  <w:style w:type="paragraph" w:customStyle="1" w:styleId="20">
    <w:name w:val="zi1"/>
    <w:basedOn w:val="1"/>
    <w:qFormat/>
    <w:uiPriority w:val="0"/>
    <w:pPr>
      <w:widowControl/>
      <w:spacing w:before="100" w:beforeAutospacing="1" w:after="100" w:afterAutospacing="1" w:line="300" w:lineRule="atLeast"/>
      <w:jc w:val="left"/>
    </w:pPr>
    <w:rPr>
      <w:rFonts w:ascii="宋体" w:hAnsi="宋体" w:cs="宋体"/>
      <w:color w:val="000000"/>
      <w:kern w:val="0"/>
      <w:sz w:val="18"/>
      <w:szCs w:val="18"/>
    </w:rPr>
  </w:style>
  <w:style w:type="paragraph" w:customStyle="1" w:styleId="21">
    <w:name w:val="Char"/>
    <w:basedOn w:val="1"/>
    <w:qFormat/>
    <w:uiPriority w:val="0"/>
    <w:pPr>
      <w:widowControl/>
      <w:spacing w:after="160" w:line="240" w:lineRule="exact"/>
      <w:jc w:val="left"/>
    </w:pPr>
    <w:rPr>
      <w:rFonts w:ascii="Verdana" w:hAnsi="Verdana"/>
      <w:kern w:val="0"/>
      <w:sz w:val="18"/>
      <w:lang w:eastAsia="en-US"/>
    </w:rPr>
  </w:style>
  <w:style w:type="character" w:customStyle="1" w:styleId="22">
    <w:name w:val="批注框文本 Char"/>
    <w:basedOn w:val="12"/>
    <w:link w:val="6"/>
    <w:qFormat/>
    <w:uiPriority w:val="0"/>
    <w:rPr>
      <w:kern w:val="2"/>
      <w:sz w:val="18"/>
      <w:szCs w:val="18"/>
    </w:rPr>
  </w:style>
  <w:style w:type="paragraph" w:customStyle="1"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393</Words>
  <Characters>2243</Characters>
  <Lines>18</Lines>
  <Paragraphs>5</Paragraphs>
  <ScaleCrop>false</ScaleCrop>
  <LinksUpToDate>false</LinksUpToDate>
  <CharactersWithSpaces>2631</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2017-09-30T08:11:00Z</dcterms:created>
  <dc:creator>SPSZZF</dc:creator>
  <cp:lastModifiedBy>Administrator</cp:lastModifiedBy>
  <dcterms:modified xsi:type="dcterms:W3CDTF">2017-10-09T08:55:46Z</dcterms:modified>
  <dc:title>2014年第四季度惠州市食品药品监督管理局食品类产品质量监督抽查工作总结</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