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仿宋_GB2312" w:hAnsi="宋体" w:eastAsia="仿宋_GB2312"/>
          <w:b/>
          <w:sz w:val="28"/>
          <w:szCs w:val="28"/>
        </w:rPr>
      </w:pPr>
      <w:r>
        <w:rPr>
          <w:rFonts w:hint="eastAsia" w:ascii="仿宋_GB2312" w:hAnsi="宋体" w:eastAsia="仿宋_GB2312"/>
          <w:b/>
          <w:sz w:val="28"/>
          <w:szCs w:val="28"/>
        </w:rPr>
        <w:t>附件1</w:t>
      </w:r>
    </w:p>
    <w:p>
      <w:pPr>
        <w:spacing w:line="360" w:lineRule="auto"/>
        <w:jc w:val="center"/>
        <w:rPr>
          <w:rFonts w:ascii="仿宋_GB2312" w:hAnsi="宋体" w:eastAsia="仿宋_GB2312"/>
          <w:b/>
          <w:sz w:val="44"/>
          <w:szCs w:val="44"/>
        </w:rPr>
      </w:pPr>
      <w:r>
        <w:rPr>
          <w:rFonts w:hint="eastAsia" w:ascii="仿宋_GB2312" w:hAnsi="宋体" w:eastAsia="仿宋_GB2312"/>
          <w:b/>
          <w:sz w:val="44"/>
          <w:szCs w:val="44"/>
        </w:rPr>
        <w:t>抽检项目和依据</w:t>
      </w:r>
    </w:p>
    <w:p>
      <w:pPr>
        <w:spacing w:line="360" w:lineRule="auto"/>
        <w:jc w:val="center"/>
        <w:rPr>
          <w:rFonts w:ascii="仿宋_GB2312" w:hAnsi="宋体" w:eastAsia="仿宋_GB2312"/>
          <w:b/>
          <w:sz w:val="44"/>
          <w:szCs w:val="44"/>
        </w:rPr>
      </w:pPr>
    </w:p>
    <w:p>
      <w:pPr>
        <w:pStyle w:val="23"/>
        <w:numPr>
          <w:ilvl w:val="0"/>
          <w:numId w:val="1"/>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米面及其制成品（发酵面制品）</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（一）抽检依据</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（二）检验项目</w:t>
      </w:r>
    </w:p>
    <w:p>
      <w:pPr>
        <w:spacing w:line="360" w:lineRule="auto"/>
        <w:ind w:firstLine="560" w:firstLineChars="200"/>
        <w:rPr>
          <w:rFonts w:ascii="仿宋_GB2312" w:hAnsi="宋体" w:eastAsia="仿宋_GB2312"/>
          <w:sz w:val="28"/>
          <w:szCs w:val="28"/>
        </w:rPr>
      </w:pPr>
      <w:r>
        <w:rPr>
          <w:rFonts w:ascii="仿宋_GB2312" w:hAnsi="宋体" w:eastAsia="仿宋_GB2312"/>
          <w:sz w:val="28"/>
          <w:szCs w:val="28"/>
        </w:rPr>
        <w:t>铝的残留量（以A1计）、苯甲酸及其钠盐（以苯甲酸计）、山梨酸及其钾盐（以山梨酸计）</w:t>
      </w:r>
    </w:p>
    <w:p>
      <w:pPr>
        <w:pStyle w:val="23"/>
        <w:numPr>
          <w:ilvl w:val="0"/>
          <w:numId w:val="1"/>
        </w:numPr>
        <w:spacing w:line="360" w:lineRule="auto"/>
        <w:ind w:firstLineChars="0"/>
        <w:jc w:val="left"/>
        <w:rPr>
          <w:rFonts w:ascii="仿宋_GB2312" w:hAnsi="宋体" w:eastAsia="仿宋_GB2312"/>
          <w:b/>
          <w:sz w:val="28"/>
          <w:szCs w:val="28"/>
        </w:rPr>
      </w:pPr>
      <w:r>
        <w:rPr>
          <w:rFonts w:ascii="仿宋_GB2312" w:hAnsi="宋体" w:eastAsia="仿宋_GB2312"/>
          <w:b/>
          <w:sz w:val="28"/>
          <w:szCs w:val="28"/>
        </w:rPr>
        <w:t>畜肉（生）（生猪肉、生牛肉、生羊肉）</w:t>
      </w:r>
    </w:p>
    <w:p>
      <w:pPr>
        <w:pStyle w:val="23"/>
        <w:spacing w:line="360" w:lineRule="auto"/>
        <w:ind w:left="720" w:firstLine="0" w:firstLineChars="0"/>
        <w:rPr>
          <w:rFonts w:ascii="仿宋_GB2312" w:hAnsi="宋体" w:eastAsia="仿宋_GB2312"/>
          <w:sz w:val="28"/>
          <w:szCs w:val="28"/>
        </w:rPr>
      </w:pPr>
      <w:r>
        <w:rPr>
          <w:rFonts w:hint="eastAsia" w:ascii="仿宋_GB2312" w:hAnsi="宋体" w:eastAsia="仿宋_GB2312"/>
          <w:sz w:val="28"/>
          <w:szCs w:val="28"/>
        </w:rPr>
        <w:t>（一）抽检依据</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农业部公告第 235 号 动物性食品中兽药最高残留限量</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（二）检验项目</w:t>
      </w:r>
    </w:p>
    <w:p>
      <w:pPr>
        <w:snapToGrid w:val="0"/>
        <w:spacing w:line="240" w:lineRule="atLeast"/>
        <w:ind w:firstLine="980" w:firstLineChars="350"/>
        <w:jc w:val="left"/>
        <w:rPr>
          <w:rFonts w:eastAsia="仿宋"/>
          <w:szCs w:val="21"/>
        </w:rPr>
      </w:pPr>
      <w:r>
        <w:rPr>
          <w:rFonts w:ascii="仿宋_GB2312" w:hAnsi="宋体" w:eastAsia="仿宋_GB2312"/>
          <w:sz w:val="28"/>
          <w:szCs w:val="28"/>
        </w:rPr>
        <w:t>克伦特罗、莱克多巴胺、沙丁胺醇、氯霉素、恩诺沙星（以恩诺沙星与环丙沙星之和计）、磺胺类（总量）</w:t>
      </w:r>
    </w:p>
    <w:p>
      <w:pPr>
        <w:pStyle w:val="23"/>
        <w:numPr>
          <w:ilvl w:val="0"/>
          <w:numId w:val="2"/>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食用植物油（半精炼、全精炼）</w:t>
      </w:r>
    </w:p>
    <w:p>
      <w:pPr>
        <w:pStyle w:val="23"/>
        <w:spacing w:line="360" w:lineRule="auto"/>
        <w:ind w:left="720" w:firstLine="0" w:firstLineChars="0"/>
        <w:rPr>
          <w:rFonts w:ascii="仿宋_GB2312" w:hAnsi="宋体" w:eastAsia="仿宋_GB2312"/>
          <w:sz w:val="28"/>
          <w:szCs w:val="28"/>
        </w:rPr>
      </w:pPr>
      <w:r>
        <w:rPr>
          <w:rFonts w:hint="eastAsia" w:ascii="仿宋_GB2312" w:hAnsi="宋体" w:eastAsia="仿宋_GB2312"/>
          <w:sz w:val="28"/>
          <w:szCs w:val="28"/>
        </w:rPr>
        <w:t>（一）抽检依据</w:t>
      </w:r>
    </w:p>
    <w:p>
      <w:pPr>
        <w:spacing w:line="360" w:lineRule="auto"/>
        <w:ind w:firstLine="840" w:firstLineChars="300"/>
        <w:rPr>
          <w:rFonts w:ascii="仿宋_GB2312" w:hAnsi="宋体" w:eastAsia="仿宋_GB2312"/>
          <w:sz w:val="28"/>
          <w:szCs w:val="28"/>
        </w:rPr>
      </w:pPr>
      <w:r>
        <w:rPr>
          <w:rFonts w:hint="eastAsia" w:ascii="仿宋_GB2312" w:hAnsi="宋体" w:eastAsia="仿宋_GB2312"/>
          <w:sz w:val="28"/>
          <w:szCs w:val="28"/>
        </w:rPr>
        <w:t>GB 2716 食用植物油卫生标准</w:t>
      </w:r>
    </w:p>
    <w:p>
      <w:pPr>
        <w:spacing w:line="360" w:lineRule="auto"/>
        <w:ind w:firstLine="840" w:firstLineChars="300"/>
        <w:rPr>
          <w:rFonts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spacing w:line="360" w:lineRule="auto"/>
        <w:ind w:firstLine="840" w:firstLineChars="300"/>
        <w:rPr>
          <w:rFonts w:ascii="仿宋_GB2312" w:hAnsi="宋体" w:eastAsia="仿宋_GB2312"/>
          <w:sz w:val="28"/>
          <w:szCs w:val="28"/>
        </w:rPr>
      </w:pPr>
      <w:r>
        <w:rPr>
          <w:rFonts w:hint="eastAsia" w:ascii="仿宋_GB2312" w:hAnsi="宋体" w:eastAsia="仿宋_GB2312"/>
          <w:sz w:val="28"/>
          <w:szCs w:val="28"/>
        </w:rPr>
        <w:t>GB 2761 食品安全国家标准 食品中真菌毒素限量</w:t>
      </w:r>
    </w:p>
    <w:p>
      <w:pPr>
        <w:spacing w:line="360" w:lineRule="auto"/>
        <w:ind w:firstLine="840" w:firstLineChars="300"/>
        <w:rPr>
          <w:rFonts w:ascii="仿宋_GB2312" w:hAnsi="宋体" w:eastAsia="仿宋_GB2312"/>
          <w:sz w:val="28"/>
          <w:szCs w:val="28"/>
        </w:rPr>
      </w:pPr>
      <w:r>
        <w:rPr>
          <w:rFonts w:hint="eastAsia" w:ascii="仿宋_GB2312" w:hAnsi="宋体" w:eastAsia="仿宋_GB2312"/>
          <w:sz w:val="28"/>
          <w:szCs w:val="28"/>
        </w:rPr>
        <w:t>GB 2762 食品安全国家标准 食品中污染物限量</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（二）检验项目</w:t>
      </w:r>
    </w:p>
    <w:p>
      <w:pPr>
        <w:spacing w:line="360" w:lineRule="auto"/>
        <w:ind w:firstLine="840" w:firstLineChars="300"/>
        <w:rPr>
          <w:rFonts w:ascii="仿宋_GB2312" w:hAnsi="宋体" w:eastAsia="仿宋_GB2312"/>
          <w:sz w:val="28"/>
          <w:szCs w:val="28"/>
        </w:rPr>
      </w:pPr>
      <w:r>
        <w:rPr>
          <w:rFonts w:ascii="仿宋_GB2312" w:hAnsi="宋体" w:eastAsia="仿宋_GB2312"/>
          <w:sz w:val="28"/>
          <w:szCs w:val="28"/>
        </w:rPr>
        <w:t>总砷（以As计）、铅（以Pb计）、酸值/酸价、过氧化值、苯并[a]芘、溶剂残留量、黄曲霉毒素B1</w:t>
      </w:r>
    </w:p>
    <w:p>
      <w:pPr>
        <w:pStyle w:val="23"/>
        <w:numPr>
          <w:ilvl w:val="0"/>
          <w:numId w:val="2"/>
        </w:numPr>
        <w:spacing w:line="360" w:lineRule="auto"/>
        <w:ind w:firstLineChars="0"/>
        <w:jc w:val="left"/>
        <w:rPr>
          <w:rFonts w:ascii="仿宋_GB2312" w:hAnsi="宋体" w:eastAsia="仿宋_GB2312"/>
          <w:b/>
          <w:sz w:val="28"/>
          <w:szCs w:val="28"/>
        </w:rPr>
      </w:pPr>
      <w:r>
        <w:rPr>
          <w:rFonts w:hint="eastAsia" w:ascii="仿宋_GB2312" w:hAnsi="宋体" w:eastAsia="仿宋_GB2312"/>
          <w:b/>
          <w:sz w:val="28"/>
          <w:szCs w:val="28"/>
        </w:rPr>
        <w:t>食用盐</w:t>
      </w:r>
    </w:p>
    <w:p>
      <w:pPr>
        <w:pStyle w:val="23"/>
        <w:numPr>
          <w:ilvl w:val="0"/>
          <w:numId w:val="3"/>
        </w:numPr>
        <w:spacing w:line="360" w:lineRule="auto"/>
        <w:ind w:firstLineChars="0"/>
        <w:rPr>
          <w:rFonts w:ascii="仿宋_GB2312" w:hAnsi="宋体" w:eastAsia="仿宋_GB2312"/>
          <w:sz w:val="28"/>
          <w:szCs w:val="28"/>
        </w:rPr>
      </w:pPr>
      <w:r>
        <w:rPr>
          <w:rFonts w:hint="eastAsia" w:ascii="仿宋_GB2312" w:hAnsi="宋体" w:eastAsia="仿宋_GB2312"/>
          <w:sz w:val="28"/>
          <w:szCs w:val="28"/>
        </w:rPr>
        <w:t>抽检依据</w:t>
      </w:r>
    </w:p>
    <w:p>
      <w:pPr>
        <w:pStyle w:val="23"/>
        <w:spacing w:line="360" w:lineRule="auto"/>
        <w:ind w:left="720" w:firstLine="0" w:firstLineChars="0"/>
        <w:jc w:val="left"/>
        <w:rPr>
          <w:rFonts w:hint="eastAsia" w:ascii="仿宋_GB2312" w:hAnsi="宋体" w:eastAsia="仿宋_GB2312"/>
          <w:sz w:val="28"/>
          <w:szCs w:val="28"/>
        </w:rPr>
      </w:pPr>
      <w:r>
        <w:rPr>
          <w:rFonts w:hint="eastAsia" w:ascii="仿宋_GB2312" w:hAnsi="宋体" w:eastAsia="仿宋_GB2312"/>
          <w:sz w:val="28"/>
          <w:szCs w:val="28"/>
        </w:rPr>
        <w:t>GB 2721-2015《食品安全国家标准 食用盐》、GB 26878-2011《食品安全国家标准 食用盐碘含量》、GB 2760-2014《食品安全国家标准 食品添加剂使用标准》、GB 2762-2017《食品安全国家标准 食品中污染物限量》</w:t>
      </w:r>
    </w:p>
    <w:p>
      <w:pPr>
        <w:spacing w:line="360" w:lineRule="auto"/>
        <w:ind w:firstLine="700" w:firstLineChars="250"/>
        <w:rPr>
          <w:rFonts w:ascii="仿宋_GB2312" w:hAnsi="宋体" w:eastAsia="仿宋_GB2312"/>
          <w:sz w:val="28"/>
          <w:szCs w:val="28"/>
        </w:rPr>
      </w:pPr>
      <w:r>
        <w:rPr>
          <w:rFonts w:hint="eastAsia" w:ascii="仿宋_GB2312" w:hAnsi="宋体" w:eastAsia="仿宋_GB2312"/>
          <w:sz w:val="28"/>
          <w:szCs w:val="28"/>
        </w:rPr>
        <w:t>（二）检验项目</w:t>
      </w:r>
    </w:p>
    <w:p>
      <w:pPr>
        <w:pStyle w:val="23"/>
        <w:spacing w:line="360" w:lineRule="auto"/>
        <w:ind w:left="720" w:firstLine="0" w:firstLineChars="0"/>
        <w:jc w:val="left"/>
        <w:rPr>
          <w:rFonts w:hint="eastAsia" w:ascii="仿宋_GB2312" w:hAnsi="宋体" w:eastAsia="仿宋_GB2312"/>
          <w:sz w:val="28"/>
          <w:szCs w:val="28"/>
        </w:rPr>
      </w:pPr>
      <w:r>
        <w:rPr>
          <w:rFonts w:ascii="仿宋_GB2312" w:hAnsi="宋体" w:eastAsia="仿宋_GB2312"/>
          <w:sz w:val="28"/>
          <w:szCs w:val="28"/>
        </w:rPr>
        <w:t>碘、亚铁氰化钾、钡、氯化钾、铅（以Pb计）、镉（以Cd计）、总汞（以Hg计）、总砷（以As计）</w:t>
      </w:r>
    </w:p>
    <w:p>
      <w:pPr>
        <w:pStyle w:val="23"/>
        <w:spacing w:line="360" w:lineRule="auto"/>
        <w:ind w:left="0" w:leftChars="0" w:firstLine="0" w:firstLineChars="0"/>
        <w:jc w:val="left"/>
        <w:rPr>
          <w:rFonts w:ascii="仿宋_GB2312" w:hAnsi="宋体" w:eastAsia="仿宋_GB2312"/>
          <w:b/>
          <w:sz w:val="28"/>
          <w:szCs w:val="28"/>
        </w:rPr>
      </w:pPr>
      <w:r>
        <w:rPr>
          <w:rFonts w:hint="eastAsia" w:ascii="仿宋_GB2312" w:hAnsi="宋体" w:eastAsia="仿宋_GB2312"/>
          <w:b/>
          <w:sz w:val="28"/>
          <w:szCs w:val="28"/>
        </w:rPr>
        <w:t>五</w:t>
      </w:r>
      <w:r>
        <w:rPr>
          <w:rFonts w:ascii="仿宋_GB2312" w:hAnsi="宋体" w:eastAsia="仿宋_GB2312"/>
          <w:b/>
          <w:sz w:val="28"/>
          <w:szCs w:val="28"/>
        </w:rPr>
        <w:t>、</w:t>
      </w:r>
      <w:r>
        <w:rPr>
          <w:rFonts w:hint="eastAsia" w:ascii="仿宋_GB2312" w:hAnsi="宋体" w:eastAsia="仿宋_GB2312"/>
          <w:b/>
          <w:sz w:val="28"/>
          <w:szCs w:val="28"/>
        </w:rPr>
        <w:t>复用餐饮具</w:t>
      </w:r>
    </w:p>
    <w:p>
      <w:pPr>
        <w:pStyle w:val="23"/>
        <w:spacing w:line="360" w:lineRule="auto"/>
        <w:ind w:left="720" w:firstLine="0" w:firstLineChars="0"/>
        <w:rPr>
          <w:rFonts w:ascii="仿宋_GB2312" w:hAnsi="宋体" w:eastAsia="仿宋_GB2312"/>
          <w:sz w:val="28"/>
          <w:szCs w:val="28"/>
        </w:rPr>
      </w:pPr>
      <w:r>
        <w:rPr>
          <w:rFonts w:hint="eastAsia" w:ascii="仿宋_GB2312" w:hAnsi="宋体" w:eastAsia="仿宋_GB2312"/>
          <w:sz w:val="28"/>
          <w:szCs w:val="28"/>
        </w:rPr>
        <w:t>（一）抽检依据</w:t>
      </w:r>
    </w:p>
    <w:p>
      <w:pPr>
        <w:spacing w:line="360" w:lineRule="auto"/>
        <w:ind w:left="560"/>
        <w:rPr>
          <w:rFonts w:ascii="仿宋_GB2312" w:hAnsi="宋体" w:eastAsia="仿宋_GB2312"/>
          <w:sz w:val="28"/>
          <w:szCs w:val="28"/>
        </w:rPr>
      </w:pPr>
      <w:r>
        <w:rPr>
          <w:rFonts w:hint="eastAsia" w:ascii="仿宋_GB2312" w:hAnsi="宋体" w:eastAsia="仿宋_GB2312"/>
          <w:sz w:val="28"/>
          <w:szCs w:val="28"/>
        </w:rPr>
        <w:t>GB 14934  食品安全国家标准 消毒餐（饮）具</w:t>
      </w:r>
    </w:p>
    <w:p>
      <w:pPr>
        <w:spacing w:line="360" w:lineRule="auto"/>
        <w:ind w:firstLine="700" w:firstLineChars="250"/>
        <w:rPr>
          <w:rFonts w:ascii="仿宋_GB2312" w:hAnsi="宋体" w:eastAsia="仿宋_GB2312"/>
          <w:sz w:val="28"/>
          <w:szCs w:val="28"/>
        </w:rPr>
      </w:pPr>
      <w:r>
        <w:rPr>
          <w:rFonts w:hint="eastAsia" w:ascii="仿宋_GB2312" w:hAnsi="宋体" w:eastAsia="仿宋_GB2312"/>
          <w:sz w:val="28"/>
          <w:szCs w:val="28"/>
        </w:rPr>
        <w:t>（二）检验项目</w:t>
      </w:r>
    </w:p>
    <w:p>
      <w:pPr>
        <w:spacing w:line="360" w:lineRule="auto"/>
        <w:ind w:left="560"/>
        <w:rPr>
          <w:rFonts w:ascii="仿宋_GB2312" w:hAnsi="宋体" w:eastAsia="仿宋_GB2312"/>
          <w:sz w:val="28"/>
          <w:szCs w:val="28"/>
        </w:rPr>
      </w:pPr>
      <w:r>
        <w:rPr>
          <w:rFonts w:hint="eastAsia" w:ascii="仿宋_GB2312" w:hAnsi="宋体" w:eastAsia="仿宋_GB2312"/>
          <w:sz w:val="28"/>
          <w:szCs w:val="28"/>
        </w:rPr>
        <w:t>游离性余氯、大肠菌群、沙门氏菌</w:t>
      </w:r>
    </w:p>
    <w:p>
      <w:pPr>
        <w:pStyle w:val="23"/>
        <w:numPr>
          <w:numId w:val="0"/>
        </w:numPr>
        <w:spacing w:line="360" w:lineRule="auto"/>
        <w:jc w:val="left"/>
        <w:rPr>
          <w:rFonts w:ascii="仿宋_GB2312" w:hAnsi="宋体" w:eastAsia="仿宋_GB2312"/>
          <w:b/>
          <w:sz w:val="28"/>
          <w:szCs w:val="28"/>
        </w:rPr>
      </w:pPr>
      <w:r>
        <w:rPr>
          <w:rFonts w:hint="eastAsia" w:ascii="仿宋_GB2312" w:hAnsi="宋体" w:eastAsia="仿宋_GB2312"/>
          <w:b/>
          <w:sz w:val="28"/>
          <w:szCs w:val="28"/>
          <w:lang w:eastAsia="zh-CN"/>
        </w:rPr>
        <w:t>六、</w:t>
      </w:r>
      <w:r>
        <w:rPr>
          <w:rFonts w:hint="eastAsia" w:ascii="仿宋_GB2312" w:hAnsi="宋体" w:eastAsia="仿宋_GB2312"/>
          <w:b/>
          <w:sz w:val="28"/>
          <w:szCs w:val="28"/>
        </w:rPr>
        <w:t>糕点</w:t>
      </w:r>
    </w:p>
    <w:p>
      <w:pPr>
        <w:pStyle w:val="23"/>
        <w:spacing w:line="360" w:lineRule="auto"/>
        <w:ind w:left="720" w:firstLine="0" w:firstLineChars="0"/>
        <w:rPr>
          <w:rFonts w:ascii="仿宋_GB2312" w:hAnsi="宋体" w:eastAsia="仿宋_GB2312"/>
          <w:sz w:val="28"/>
          <w:szCs w:val="28"/>
        </w:rPr>
      </w:pPr>
      <w:r>
        <w:rPr>
          <w:rFonts w:hint="eastAsia" w:ascii="仿宋_GB2312" w:hAnsi="宋体" w:eastAsia="仿宋_GB2312"/>
          <w:sz w:val="28"/>
          <w:szCs w:val="28"/>
        </w:rPr>
        <w:t>（一）抽检依据</w:t>
      </w:r>
    </w:p>
    <w:p>
      <w:pPr>
        <w:spacing w:line="360" w:lineRule="auto"/>
        <w:ind w:left="560"/>
        <w:rPr>
          <w:rFonts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pStyle w:val="24"/>
        <w:numPr>
          <w:ilvl w:val="0"/>
          <w:numId w:val="3"/>
        </w:numPr>
        <w:spacing w:line="360" w:lineRule="auto"/>
        <w:ind w:firstLineChars="0"/>
        <w:rPr>
          <w:rFonts w:ascii="仿宋_GB2312" w:hAnsi="宋体" w:eastAsia="仿宋_GB2312"/>
          <w:sz w:val="28"/>
          <w:szCs w:val="28"/>
        </w:rPr>
      </w:pPr>
      <w:r>
        <w:rPr>
          <w:rFonts w:hint="eastAsia" w:ascii="仿宋_GB2312" w:hAnsi="宋体" w:eastAsia="仿宋_GB2312"/>
          <w:sz w:val="28"/>
          <w:szCs w:val="28"/>
        </w:rPr>
        <w:t>检验项目</w:t>
      </w:r>
    </w:p>
    <w:p>
      <w:pPr>
        <w:spacing w:line="360" w:lineRule="auto"/>
        <w:ind w:left="720"/>
        <w:rPr>
          <w:rFonts w:hint="eastAsia" w:ascii="仿宋_GB2312" w:hAnsi="宋体" w:eastAsia="仿宋_GB2312"/>
          <w:sz w:val="28"/>
          <w:szCs w:val="28"/>
        </w:rPr>
      </w:pPr>
      <w:r>
        <w:rPr>
          <w:rFonts w:ascii="仿宋_GB2312" w:hAnsi="宋体" w:eastAsia="仿宋_GB2312"/>
          <w:sz w:val="28"/>
          <w:szCs w:val="28"/>
        </w:rPr>
        <w:t>铝的残留量（干样品，以Al计）、苯甲酸及其钠盐（以苯甲酸计）、山梨酸及其钾盐（以山梨酸计）、糖精钠（以糖精计）、甜蜜素、脱氢乙酸、纳他霉素、防腐剂混合使用时各自用量占其最大使用量比例之和</w:t>
      </w:r>
    </w:p>
    <w:p>
      <w:pPr>
        <w:pStyle w:val="23"/>
        <w:numPr>
          <w:numId w:val="0"/>
        </w:numPr>
        <w:spacing w:line="360" w:lineRule="auto"/>
        <w:jc w:val="left"/>
        <w:rPr>
          <w:rFonts w:ascii="仿宋_GB2312" w:hAnsi="宋体" w:eastAsia="仿宋_GB2312"/>
          <w:b/>
          <w:sz w:val="28"/>
          <w:szCs w:val="28"/>
        </w:rPr>
      </w:pPr>
      <w:r>
        <w:rPr>
          <w:rFonts w:hint="eastAsia" w:ascii="仿宋_GB2312" w:hAnsi="宋体" w:eastAsia="仿宋_GB2312"/>
          <w:b/>
          <w:sz w:val="28"/>
          <w:szCs w:val="28"/>
          <w:lang w:eastAsia="zh-CN"/>
        </w:rPr>
        <w:t>七、</w:t>
      </w:r>
      <w:r>
        <w:rPr>
          <w:rFonts w:hint="eastAsia" w:ascii="仿宋_GB2312" w:hAnsi="宋体" w:eastAsia="仿宋_GB2312"/>
          <w:b/>
          <w:sz w:val="28"/>
          <w:szCs w:val="28"/>
        </w:rPr>
        <w:t>炒货食品及坚果制品</w:t>
      </w:r>
    </w:p>
    <w:p>
      <w:pPr>
        <w:spacing w:line="360" w:lineRule="auto"/>
        <w:ind w:left="560"/>
        <w:rPr>
          <w:rFonts w:ascii="仿宋_GB2312" w:hAnsi="宋体" w:eastAsia="仿宋_GB2312"/>
          <w:sz w:val="28"/>
          <w:szCs w:val="28"/>
        </w:rPr>
      </w:pPr>
      <w:r>
        <w:rPr>
          <w:rFonts w:hint="eastAsia" w:ascii="仿宋_GB2312" w:hAnsi="宋体" w:eastAsia="仿宋_GB2312"/>
          <w:sz w:val="28"/>
          <w:szCs w:val="28"/>
        </w:rPr>
        <w:t>（一）抽检依据</w:t>
      </w:r>
    </w:p>
    <w:p>
      <w:pPr>
        <w:spacing w:line="360" w:lineRule="auto"/>
        <w:ind w:left="560"/>
        <w:rPr>
          <w:rFonts w:hint="eastAsia" w:ascii="仿宋_GB2312" w:hAnsi="宋体" w:eastAsia="仿宋_GB2312"/>
          <w:sz w:val="28"/>
          <w:szCs w:val="28"/>
        </w:rPr>
      </w:pPr>
      <w:r>
        <w:rPr>
          <w:rFonts w:hint="eastAsia" w:ascii="仿宋_GB2312" w:hAnsi="宋体" w:eastAsia="仿宋_GB2312"/>
          <w:sz w:val="28"/>
          <w:szCs w:val="28"/>
        </w:rPr>
        <w:t>GB 29921-2013《食品安全国家标准 食品中致病菌限量》、GB 2760-2014《食品安全国家标准 食品添加剂使用标准》</w:t>
      </w:r>
    </w:p>
    <w:p>
      <w:pPr>
        <w:pStyle w:val="24"/>
        <w:numPr>
          <w:ilvl w:val="0"/>
          <w:numId w:val="3"/>
        </w:numPr>
        <w:spacing w:line="360" w:lineRule="auto"/>
        <w:ind w:firstLineChars="0"/>
        <w:rPr>
          <w:rFonts w:ascii="仿宋_GB2312" w:hAnsi="宋体" w:eastAsia="仿宋_GB2312"/>
          <w:sz w:val="28"/>
          <w:szCs w:val="28"/>
        </w:rPr>
      </w:pPr>
      <w:r>
        <w:rPr>
          <w:rFonts w:hint="eastAsia" w:ascii="仿宋_GB2312" w:hAnsi="宋体" w:eastAsia="仿宋_GB2312"/>
          <w:sz w:val="28"/>
          <w:szCs w:val="28"/>
        </w:rPr>
        <w:t>检验项目</w:t>
      </w:r>
    </w:p>
    <w:p>
      <w:pPr>
        <w:spacing w:line="360" w:lineRule="auto"/>
        <w:ind w:left="720"/>
        <w:rPr>
          <w:rFonts w:hint="eastAsia" w:ascii="仿宋_GB2312" w:hAnsi="宋体" w:eastAsia="仿宋_GB2312"/>
          <w:sz w:val="28"/>
          <w:szCs w:val="28"/>
        </w:rPr>
      </w:pPr>
      <w:r>
        <w:rPr>
          <w:rFonts w:ascii="仿宋_GB2312" w:hAnsi="宋体" w:eastAsia="仿宋_GB2312"/>
          <w:sz w:val="28"/>
          <w:szCs w:val="28"/>
        </w:rPr>
        <w:t>沙门氏菌、食品添加剂（苯甲酸及其钠盐（以苯甲酸计）、山梨酸及其钾盐（以山梨酸计）、脱氢乙酸、糖精钠（以糖精计））</w:t>
      </w:r>
    </w:p>
    <w:p>
      <w:pPr>
        <w:pStyle w:val="23"/>
        <w:numPr>
          <w:numId w:val="0"/>
        </w:numPr>
        <w:spacing w:line="360" w:lineRule="auto"/>
        <w:jc w:val="left"/>
        <w:rPr>
          <w:rFonts w:ascii="仿宋_GB2312" w:hAnsi="宋体" w:eastAsia="仿宋_GB2312"/>
          <w:b/>
          <w:sz w:val="28"/>
          <w:szCs w:val="28"/>
        </w:rPr>
      </w:pPr>
      <w:r>
        <w:rPr>
          <w:rFonts w:hint="eastAsia" w:ascii="仿宋_GB2312" w:hAnsi="宋体" w:eastAsia="仿宋_GB2312"/>
          <w:b/>
          <w:sz w:val="28"/>
          <w:szCs w:val="28"/>
          <w:lang w:eastAsia="zh-CN"/>
        </w:rPr>
        <w:t>八、</w:t>
      </w:r>
      <w:r>
        <w:rPr>
          <w:rFonts w:hint="eastAsia" w:ascii="仿宋_GB2312" w:hAnsi="宋体" w:eastAsia="仿宋_GB2312"/>
          <w:b/>
          <w:sz w:val="28"/>
          <w:szCs w:val="28"/>
        </w:rPr>
        <w:t>蜜饯</w:t>
      </w:r>
    </w:p>
    <w:p>
      <w:pPr>
        <w:pStyle w:val="23"/>
        <w:spacing w:line="360" w:lineRule="auto"/>
        <w:ind w:left="720" w:firstLine="0" w:firstLineChars="0"/>
        <w:rPr>
          <w:rFonts w:ascii="仿宋_GB2312" w:hAnsi="宋体" w:eastAsia="仿宋_GB2312"/>
          <w:sz w:val="28"/>
          <w:szCs w:val="28"/>
        </w:rPr>
      </w:pPr>
      <w:r>
        <w:rPr>
          <w:rFonts w:hint="eastAsia" w:ascii="仿宋_GB2312" w:hAnsi="宋体" w:eastAsia="仿宋_GB2312"/>
          <w:sz w:val="28"/>
          <w:szCs w:val="28"/>
        </w:rPr>
        <w:t>（一）抽检依据</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GB 29921 食品安全国家标准 食品中致病菌限量</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（二）检验项目</w:t>
      </w:r>
    </w:p>
    <w:p>
      <w:pPr>
        <w:spacing w:line="360" w:lineRule="auto"/>
        <w:ind w:left="420" w:leftChars="200"/>
        <w:rPr>
          <w:rFonts w:hint="eastAsia" w:ascii="仿宋_GB2312" w:hAnsi="宋体" w:eastAsia="仿宋_GB2312"/>
          <w:sz w:val="28"/>
          <w:szCs w:val="28"/>
        </w:rPr>
      </w:pPr>
      <w:r>
        <w:rPr>
          <w:rFonts w:ascii="仿宋_GB2312" w:hAnsi="宋体" w:eastAsia="仿宋_GB2312"/>
          <w:sz w:val="28"/>
          <w:szCs w:val="28"/>
        </w:rPr>
        <w:t>沙门氏菌、食品添加剂（苯甲酸及其钠盐（以苯甲酸计）、山梨酸及其钾盐（以山梨酸计）、脱氢乙酸、糖精钠（以糖精计））</w:t>
      </w:r>
    </w:p>
    <w:p>
      <w:pPr>
        <w:pStyle w:val="23"/>
        <w:numPr>
          <w:numId w:val="0"/>
        </w:numPr>
        <w:spacing w:line="360" w:lineRule="auto"/>
        <w:jc w:val="left"/>
        <w:rPr>
          <w:rFonts w:ascii="仿宋_GB2312" w:hAnsi="宋体" w:eastAsia="仿宋_GB2312"/>
          <w:b/>
          <w:sz w:val="28"/>
          <w:szCs w:val="28"/>
        </w:rPr>
      </w:pPr>
      <w:r>
        <w:rPr>
          <w:rFonts w:hint="eastAsia" w:ascii="仿宋_GB2312" w:hAnsi="宋体" w:eastAsia="仿宋_GB2312"/>
          <w:b/>
          <w:sz w:val="28"/>
          <w:szCs w:val="28"/>
          <w:lang w:eastAsia="zh-CN"/>
        </w:rPr>
        <w:t>九、</w:t>
      </w:r>
      <w:r>
        <w:rPr>
          <w:rFonts w:hint="eastAsia" w:ascii="仿宋_GB2312" w:hAnsi="宋体" w:eastAsia="仿宋_GB2312"/>
          <w:b/>
          <w:sz w:val="28"/>
          <w:szCs w:val="28"/>
        </w:rPr>
        <w:t>饼干</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（一）抽检依据</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GB 29921 食品安全国家标准 食品中致病菌限量</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（二）检验项目</w:t>
      </w:r>
    </w:p>
    <w:p>
      <w:pPr>
        <w:spacing w:line="360" w:lineRule="auto"/>
        <w:ind w:left="420" w:leftChars="200" w:firstLine="280" w:firstLineChars="100"/>
        <w:rPr>
          <w:rFonts w:ascii="仿宋_GB2312" w:hAnsi="宋体" w:eastAsia="仿宋_GB2312"/>
          <w:sz w:val="28"/>
          <w:szCs w:val="28"/>
        </w:rPr>
      </w:pPr>
      <w:r>
        <w:rPr>
          <w:rFonts w:ascii="仿宋_GB2312" w:hAnsi="宋体" w:eastAsia="仿宋_GB2312"/>
          <w:sz w:val="28"/>
          <w:szCs w:val="28"/>
        </w:rPr>
        <w:t>沙门氏菌、食品添加剂（苯甲酸及其钠盐（以苯甲酸计）、山梨酸及其钾盐（以山梨酸计）、脱氢乙酸、糖精钠（以糖精计））</w:t>
      </w:r>
    </w:p>
    <w:p>
      <w:pPr>
        <w:pStyle w:val="24"/>
        <w:numPr>
          <w:numId w:val="0"/>
        </w:numPr>
        <w:spacing w:line="360" w:lineRule="auto"/>
        <w:rPr>
          <w:rFonts w:ascii="仿宋_GB2312" w:hAnsi="宋体" w:eastAsia="仿宋_GB2312"/>
          <w:b/>
          <w:sz w:val="28"/>
          <w:szCs w:val="28"/>
        </w:rPr>
      </w:pPr>
      <w:r>
        <w:rPr>
          <w:rFonts w:hint="eastAsia" w:ascii="仿宋_GB2312" w:hAnsi="宋体" w:eastAsia="仿宋_GB2312"/>
          <w:b/>
          <w:sz w:val="28"/>
          <w:szCs w:val="28"/>
          <w:lang w:eastAsia="zh-CN"/>
        </w:rPr>
        <w:t>十、</w:t>
      </w:r>
      <w:bookmarkStart w:id="0" w:name="_GoBack"/>
      <w:bookmarkEnd w:id="0"/>
      <w:r>
        <w:rPr>
          <w:rFonts w:hint="eastAsia" w:ascii="仿宋_GB2312" w:hAnsi="宋体" w:eastAsia="仿宋_GB2312"/>
          <w:b/>
          <w:sz w:val="28"/>
          <w:szCs w:val="28"/>
        </w:rPr>
        <w:t>糖果制品</w:t>
      </w:r>
      <w:r>
        <w:rPr>
          <w:rFonts w:ascii="仿宋_GB2312" w:hAnsi="宋体" w:eastAsia="仿宋_GB2312"/>
          <w:b/>
          <w:sz w:val="28"/>
          <w:szCs w:val="28"/>
        </w:rPr>
        <w:t>（</w:t>
      </w:r>
      <w:r>
        <w:rPr>
          <w:rFonts w:hint="eastAsia" w:ascii="仿宋_GB2312" w:hAnsi="宋体" w:eastAsia="仿宋_GB2312"/>
          <w:b/>
          <w:sz w:val="28"/>
          <w:szCs w:val="28"/>
        </w:rPr>
        <w:t>果冻</w:t>
      </w:r>
      <w:r>
        <w:rPr>
          <w:rFonts w:ascii="仿宋_GB2312" w:hAnsi="宋体" w:eastAsia="仿宋_GB2312"/>
          <w:b/>
          <w:sz w:val="28"/>
          <w:szCs w:val="28"/>
        </w:rPr>
        <w:t>）</w:t>
      </w:r>
    </w:p>
    <w:p>
      <w:pPr>
        <w:spacing w:line="360" w:lineRule="auto"/>
        <w:ind w:left="720"/>
        <w:rPr>
          <w:rFonts w:ascii="仿宋_GB2312" w:hAnsi="宋体" w:eastAsia="仿宋_GB2312"/>
          <w:sz w:val="28"/>
          <w:szCs w:val="28"/>
        </w:rPr>
      </w:pPr>
      <w:r>
        <w:rPr>
          <w:rFonts w:hint="eastAsia" w:ascii="仿宋_GB2312" w:hAnsi="宋体" w:eastAsia="仿宋_GB2312"/>
          <w:sz w:val="28"/>
          <w:szCs w:val="28"/>
        </w:rPr>
        <w:t>（一）抽检依据</w:t>
      </w:r>
    </w:p>
    <w:p>
      <w:pPr>
        <w:pStyle w:val="24"/>
        <w:spacing w:line="360" w:lineRule="auto"/>
        <w:ind w:left="1440" w:firstLine="0" w:firstLineChars="0"/>
        <w:rPr>
          <w:rFonts w:ascii="仿宋_GB2312" w:hAnsi="宋体" w:eastAsia="仿宋_GB2312"/>
          <w:sz w:val="28"/>
          <w:szCs w:val="28"/>
        </w:rPr>
      </w:pPr>
      <w:r>
        <w:rPr>
          <w:rFonts w:hint="eastAsia" w:ascii="仿宋_GB2312" w:hAnsi="宋体" w:eastAsia="仿宋_GB2312"/>
          <w:sz w:val="28"/>
          <w:szCs w:val="28"/>
        </w:rPr>
        <w:t>GB 2760 食品安全国家标准 食品添加剂使用标准</w:t>
      </w:r>
    </w:p>
    <w:p>
      <w:pPr>
        <w:pStyle w:val="24"/>
        <w:spacing w:line="360" w:lineRule="auto"/>
        <w:ind w:left="1440" w:firstLine="0" w:firstLineChars="0"/>
        <w:rPr>
          <w:rFonts w:ascii="仿宋_GB2312" w:hAnsi="宋体" w:eastAsia="仿宋_GB2312"/>
          <w:sz w:val="28"/>
          <w:szCs w:val="28"/>
        </w:rPr>
      </w:pPr>
      <w:r>
        <w:rPr>
          <w:rFonts w:hint="eastAsia" w:ascii="仿宋_GB2312" w:hAnsi="宋体" w:eastAsia="仿宋_GB2312"/>
          <w:sz w:val="28"/>
          <w:szCs w:val="28"/>
        </w:rPr>
        <w:t>GB 29921 食品安全国家标准 食品中致病菌限量</w:t>
      </w:r>
    </w:p>
    <w:p>
      <w:pPr>
        <w:spacing w:line="360" w:lineRule="auto"/>
        <w:ind w:left="720"/>
        <w:rPr>
          <w:rFonts w:ascii="仿宋_GB2312" w:hAnsi="宋体" w:eastAsia="仿宋_GB2312"/>
          <w:sz w:val="28"/>
          <w:szCs w:val="28"/>
        </w:rPr>
      </w:pPr>
      <w:r>
        <w:rPr>
          <w:rFonts w:hint="eastAsia" w:ascii="仿宋_GB2312" w:hAnsi="宋体" w:eastAsia="仿宋_GB2312"/>
          <w:sz w:val="28"/>
          <w:szCs w:val="28"/>
        </w:rPr>
        <w:t>（二）检验项目</w:t>
      </w:r>
    </w:p>
    <w:p>
      <w:pPr>
        <w:pStyle w:val="24"/>
        <w:spacing w:line="360" w:lineRule="auto"/>
        <w:ind w:left="1440" w:firstLine="0" w:firstLineChars="0"/>
        <w:rPr>
          <w:rFonts w:ascii="仿宋_GB2312" w:hAnsi="宋体" w:eastAsia="仿宋_GB2312"/>
          <w:sz w:val="28"/>
          <w:szCs w:val="28"/>
        </w:rPr>
      </w:pPr>
      <w:r>
        <w:rPr>
          <w:rFonts w:ascii="仿宋_GB2312" w:hAnsi="宋体" w:eastAsia="仿宋_GB2312"/>
          <w:sz w:val="28"/>
          <w:szCs w:val="28"/>
        </w:rPr>
        <w:t>沙门氏菌、食品添加剂（苯甲酸及其钠盐（以苯甲酸计）、山梨酸及其钾盐（以山梨酸计）、脱氢乙酸、糖精钠（以糖精计））</w:t>
      </w:r>
    </w:p>
    <w:p>
      <w:pPr>
        <w:pStyle w:val="24"/>
        <w:spacing w:line="360" w:lineRule="auto"/>
        <w:ind w:left="1440" w:firstLine="0" w:firstLineChars="0"/>
        <w:rPr>
          <w:rFonts w:hint="eastAsia" w:ascii="仿宋_GB2312" w:hAnsi="宋体" w:eastAsia="仿宋_GB2312"/>
          <w:sz w:val="28"/>
          <w:szCs w:val="28"/>
        </w:rPr>
      </w:pPr>
    </w:p>
    <w:sectPr>
      <w:pgSz w:w="11906" w:h="16838"/>
      <w:pgMar w:top="1440" w:right="85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697261"/>
    <w:multiLevelType w:val="multilevel"/>
    <w:tmpl w:val="21697261"/>
    <w:lvl w:ilvl="0" w:tentative="0">
      <w:start w:val="1"/>
      <w:numFmt w:val="japaneseCounting"/>
      <w:lvlText w:val="（%1）"/>
      <w:lvlJc w:val="left"/>
      <w:pPr>
        <w:ind w:left="1575" w:hanging="855"/>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
    <w:nsid w:val="32244AFD"/>
    <w:multiLevelType w:val="multilevel"/>
    <w:tmpl w:val="32244AFD"/>
    <w:lvl w:ilvl="0" w:tentative="0">
      <w:start w:val="3"/>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C4377AA"/>
    <w:multiLevelType w:val="multilevel"/>
    <w:tmpl w:val="4C4377AA"/>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645"/>
    <w:rsid w:val="0000448A"/>
    <w:rsid w:val="0001291A"/>
    <w:rsid w:val="000268E1"/>
    <w:rsid w:val="00033670"/>
    <w:rsid w:val="000554DA"/>
    <w:rsid w:val="000608D0"/>
    <w:rsid w:val="0006650D"/>
    <w:rsid w:val="000709B1"/>
    <w:rsid w:val="000738BF"/>
    <w:rsid w:val="00086118"/>
    <w:rsid w:val="000871E5"/>
    <w:rsid w:val="00090D8F"/>
    <w:rsid w:val="0009260C"/>
    <w:rsid w:val="00094DDC"/>
    <w:rsid w:val="00095866"/>
    <w:rsid w:val="000A2857"/>
    <w:rsid w:val="000A4C38"/>
    <w:rsid w:val="000B0846"/>
    <w:rsid w:val="000B0886"/>
    <w:rsid w:val="000C5532"/>
    <w:rsid w:val="000D3450"/>
    <w:rsid w:val="000D5F91"/>
    <w:rsid w:val="000D7463"/>
    <w:rsid w:val="000E0899"/>
    <w:rsid w:val="000E6444"/>
    <w:rsid w:val="00110073"/>
    <w:rsid w:val="00114A44"/>
    <w:rsid w:val="00117B2D"/>
    <w:rsid w:val="00120F22"/>
    <w:rsid w:val="00135221"/>
    <w:rsid w:val="001413FB"/>
    <w:rsid w:val="00145177"/>
    <w:rsid w:val="00145ACA"/>
    <w:rsid w:val="00160905"/>
    <w:rsid w:val="00164A06"/>
    <w:rsid w:val="00170484"/>
    <w:rsid w:val="00192ED6"/>
    <w:rsid w:val="001966DF"/>
    <w:rsid w:val="001A27F2"/>
    <w:rsid w:val="001A4399"/>
    <w:rsid w:val="001A5B51"/>
    <w:rsid w:val="001A702D"/>
    <w:rsid w:val="001B36F3"/>
    <w:rsid w:val="001C32D2"/>
    <w:rsid w:val="001D2780"/>
    <w:rsid w:val="001D764D"/>
    <w:rsid w:val="001E1C45"/>
    <w:rsid w:val="001E4C44"/>
    <w:rsid w:val="001E70B3"/>
    <w:rsid w:val="001F1311"/>
    <w:rsid w:val="001F495C"/>
    <w:rsid w:val="001F5995"/>
    <w:rsid w:val="0020074E"/>
    <w:rsid w:val="00211A92"/>
    <w:rsid w:val="00215265"/>
    <w:rsid w:val="00227A91"/>
    <w:rsid w:val="00230533"/>
    <w:rsid w:val="0023091A"/>
    <w:rsid w:val="00236312"/>
    <w:rsid w:val="0024522E"/>
    <w:rsid w:val="00247373"/>
    <w:rsid w:val="00250ECC"/>
    <w:rsid w:val="0025384A"/>
    <w:rsid w:val="00253C8B"/>
    <w:rsid w:val="002724EE"/>
    <w:rsid w:val="00272EE1"/>
    <w:rsid w:val="00282822"/>
    <w:rsid w:val="00283578"/>
    <w:rsid w:val="002856FD"/>
    <w:rsid w:val="00285E5F"/>
    <w:rsid w:val="00286BB6"/>
    <w:rsid w:val="00293F00"/>
    <w:rsid w:val="00294572"/>
    <w:rsid w:val="00294926"/>
    <w:rsid w:val="002A29D5"/>
    <w:rsid w:val="002A4C39"/>
    <w:rsid w:val="002A5DFF"/>
    <w:rsid w:val="002B006C"/>
    <w:rsid w:val="002B1AA0"/>
    <w:rsid w:val="002C1293"/>
    <w:rsid w:val="002C1766"/>
    <w:rsid w:val="002C46F4"/>
    <w:rsid w:val="002C55B1"/>
    <w:rsid w:val="002C5A72"/>
    <w:rsid w:val="002D1372"/>
    <w:rsid w:val="002D5BB3"/>
    <w:rsid w:val="002D78FA"/>
    <w:rsid w:val="002F556A"/>
    <w:rsid w:val="00306CAF"/>
    <w:rsid w:val="00311B1A"/>
    <w:rsid w:val="00325275"/>
    <w:rsid w:val="003340F1"/>
    <w:rsid w:val="00340407"/>
    <w:rsid w:val="003451B5"/>
    <w:rsid w:val="0035116B"/>
    <w:rsid w:val="003546BA"/>
    <w:rsid w:val="0037364B"/>
    <w:rsid w:val="00376B4E"/>
    <w:rsid w:val="0038237A"/>
    <w:rsid w:val="00385803"/>
    <w:rsid w:val="003A4E60"/>
    <w:rsid w:val="003A6D4C"/>
    <w:rsid w:val="003B4E3A"/>
    <w:rsid w:val="003C0281"/>
    <w:rsid w:val="003C4235"/>
    <w:rsid w:val="003C731D"/>
    <w:rsid w:val="003D5A6E"/>
    <w:rsid w:val="003E3F35"/>
    <w:rsid w:val="003E6366"/>
    <w:rsid w:val="004004C3"/>
    <w:rsid w:val="00402FC4"/>
    <w:rsid w:val="004230F5"/>
    <w:rsid w:val="0042578C"/>
    <w:rsid w:val="0043213E"/>
    <w:rsid w:val="00437D1A"/>
    <w:rsid w:val="0044351B"/>
    <w:rsid w:val="00446BCE"/>
    <w:rsid w:val="00460F98"/>
    <w:rsid w:val="00465FC2"/>
    <w:rsid w:val="00477821"/>
    <w:rsid w:val="00481596"/>
    <w:rsid w:val="0048676C"/>
    <w:rsid w:val="00486828"/>
    <w:rsid w:val="00491CF0"/>
    <w:rsid w:val="004A1062"/>
    <w:rsid w:val="004A309D"/>
    <w:rsid w:val="004A332D"/>
    <w:rsid w:val="004A5F4C"/>
    <w:rsid w:val="004C3F29"/>
    <w:rsid w:val="004C60D1"/>
    <w:rsid w:val="004D4B97"/>
    <w:rsid w:val="004E0E47"/>
    <w:rsid w:val="004E1F06"/>
    <w:rsid w:val="005105D6"/>
    <w:rsid w:val="005125BD"/>
    <w:rsid w:val="0052370F"/>
    <w:rsid w:val="00533666"/>
    <w:rsid w:val="00557D60"/>
    <w:rsid w:val="00557FD3"/>
    <w:rsid w:val="00574CD0"/>
    <w:rsid w:val="00577C03"/>
    <w:rsid w:val="00580415"/>
    <w:rsid w:val="0058483A"/>
    <w:rsid w:val="0059334B"/>
    <w:rsid w:val="005A4EA4"/>
    <w:rsid w:val="005A544A"/>
    <w:rsid w:val="005A6D65"/>
    <w:rsid w:val="005B03F7"/>
    <w:rsid w:val="005B30AC"/>
    <w:rsid w:val="005E1532"/>
    <w:rsid w:val="005E2D45"/>
    <w:rsid w:val="005E57BB"/>
    <w:rsid w:val="005E6C55"/>
    <w:rsid w:val="005F02B0"/>
    <w:rsid w:val="005F42B2"/>
    <w:rsid w:val="005F52C2"/>
    <w:rsid w:val="00604B2B"/>
    <w:rsid w:val="00605EC4"/>
    <w:rsid w:val="00616DBB"/>
    <w:rsid w:val="00617571"/>
    <w:rsid w:val="00633258"/>
    <w:rsid w:val="00651894"/>
    <w:rsid w:val="00664DC5"/>
    <w:rsid w:val="00677BD1"/>
    <w:rsid w:val="00683B5C"/>
    <w:rsid w:val="00683E97"/>
    <w:rsid w:val="00694F24"/>
    <w:rsid w:val="0069554A"/>
    <w:rsid w:val="006967D1"/>
    <w:rsid w:val="00697F6C"/>
    <w:rsid w:val="006A3083"/>
    <w:rsid w:val="006B5E59"/>
    <w:rsid w:val="006C4CE7"/>
    <w:rsid w:val="006C64D1"/>
    <w:rsid w:val="006C7D5B"/>
    <w:rsid w:val="006D02E3"/>
    <w:rsid w:val="006D0F20"/>
    <w:rsid w:val="006D697E"/>
    <w:rsid w:val="006D7FD3"/>
    <w:rsid w:val="006E0C4A"/>
    <w:rsid w:val="006E0E1D"/>
    <w:rsid w:val="006E4787"/>
    <w:rsid w:val="00700A7F"/>
    <w:rsid w:val="00700CAD"/>
    <w:rsid w:val="0070501B"/>
    <w:rsid w:val="00712E37"/>
    <w:rsid w:val="00727B64"/>
    <w:rsid w:val="00736A5F"/>
    <w:rsid w:val="00740003"/>
    <w:rsid w:val="007537A3"/>
    <w:rsid w:val="00761FF0"/>
    <w:rsid w:val="00765776"/>
    <w:rsid w:val="00773494"/>
    <w:rsid w:val="007834DA"/>
    <w:rsid w:val="007878B9"/>
    <w:rsid w:val="00791B44"/>
    <w:rsid w:val="0079371F"/>
    <w:rsid w:val="007A074C"/>
    <w:rsid w:val="007A35B2"/>
    <w:rsid w:val="007A37B9"/>
    <w:rsid w:val="007B4CD6"/>
    <w:rsid w:val="007F656C"/>
    <w:rsid w:val="007F70F1"/>
    <w:rsid w:val="00803590"/>
    <w:rsid w:val="00803932"/>
    <w:rsid w:val="00812E8B"/>
    <w:rsid w:val="0082351E"/>
    <w:rsid w:val="00826CE0"/>
    <w:rsid w:val="00832B49"/>
    <w:rsid w:val="00836100"/>
    <w:rsid w:val="00837C8B"/>
    <w:rsid w:val="00843314"/>
    <w:rsid w:val="0084605E"/>
    <w:rsid w:val="00847FA0"/>
    <w:rsid w:val="0085636F"/>
    <w:rsid w:val="00861440"/>
    <w:rsid w:val="00862A09"/>
    <w:rsid w:val="00870575"/>
    <w:rsid w:val="00870F67"/>
    <w:rsid w:val="0087465A"/>
    <w:rsid w:val="00874BBE"/>
    <w:rsid w:val="00880B9F"/>
    <w:rsid w:val="00881AA7"/>
    <w:rsid w:val="00885DCE"/>
    <w:rsid w:val="00885E87"/>
    <w:rsid w:val="008926DF"/>
    <w:rsid w:val="00894C98"/>
    <w:rsid w:val="00895E31"/>
    <w:rsid w:val="00896630"/>
    <w:rsid w:val="008A0155"/>
    <w:rsid w:val="008A3906"/>
    <w:rsid w:val="008B22A3"/>
    <w:rsid w:val="008C5566"/>
    <w:rsid w:val="008D4677"/>
    <w:rsid w:val="008D5067"/>
    <w:rsid w:val="008E4147"/>
    <w:rsid w:val="008E53D9"/>
    <w:rsid w:val="008E6C0A"/>
    <w:rsid w:val="008E7417"/>
    <w:rsid w:val="008F3A46"/>
    <w:rsid w:val="008F4FBE"/>
    <w:rsid w:val="009041E3"/>
    <w:rsid w:val="00904783"/>
    <w:rsid w:val="00904C15"/>
    <w:rsid w:val="009106D9"/>
    <w:rsid w:val="009138FE"/>
    <w:rsid w:val="00920F1B"/>
    <w:rsid w:val="009252E7"/>
    <w:rsid w:val="009272CD"/>
    <w:rsid w:val="00927BA7"/>
    <w:rsid w:val="00930FBF"/>
    <w:rsid w:val="009320E0"/>
    <w:rsid w:val="009351FD"/>
    <w:rsid w:val="009374C9"/>
    <w:rsid w:val="00947B76"/>
    <w:rsid w:val="0096670A"/>
    <w:rsid w:val="00975541"/>
    <w:rsid w:val="009766E6"/>
    <w:rsid w:val="00982112"/>
    <w:rsid w:val="00982DF5"/>
    <w:rsid w:val="00987151"/>
    <w:rsid w:val="009B7014"/>
    <w:rsid w:val="009C1463"/>
    <w:rsid w:val="009C346C"/>
    <w:rsid w:val="00A023ED"/>
    <w:rsid w:val="00A02F49"/>
    <w:rsid w:val="00A13961"/>
    <w:rsid w:val="00A16312"/>
    <w:rsid w:val="00A21A1A"/>
    <w:rsid w:val="00A24744"/>
    <w:rsid w:val="00A25BA5"/>
    <w:rsid w:val="00A261A5"/>
    <w:rsid w:val="00A36C32"/>
    <w:rsid w:val="00A418AB"/>
    <w:rsid w:val="00A435F4"/>
    <w:rsid w:val="00A44DB2"/>
    <w:rsid w:val="00A63722"/>
    <w:rsid w:val="00A652FB"/>
    <w:rsid w:val="00A72E06"/>
    <w:rsid w:val="00A7739B"/>
    <w:rsid w:val="00AA42CC"/>
    <w:rsid w:val="00AB7D1E"/>
    <w:rsid w:val="00AD26C7"/>
    <w:rsid w:val="00AD7EBB"/>
    <w:rsid w:val="00AE7970"/>
    <w:rsid w:val="00AF1894"/>
    <w:rsid w:val="00B104F7"/>
    <w:rsid w:val="00B26963"/>
    <w:rsid w:val="00B304C4"/>
    <w:rsid w:val="00B31F9F"/>
    <w:rsid w:val="00B40F0C"/>
    <w:rsid w:val="00B41C3F"/>
    <w:rsid w:val="00B61EFD"/>
    <w:rsid w:val="00B83FD0"/>
    <w:rsid w:val="00B92DA4"/>
    <w:rsid w:val="00B93891"/>
    <w:rsid w:val="00B94D28"/>
    <w:rsid w:val="00B963C4"/>
    <w:rsid w:val="00B9665C"/>
    <w:rsid w:val="00BA1273"/>
    <w:rsid w:val="00BA223E"/>
    <w:rsid w:val="00BA2EC7"/>
    <w:rsid w:val="00BA30F0"/>
    <w:rsid w:val="00BA5FC7"/>
    <w:rsid w:val="00BB20B4"/>
    <w:rsid w:val="00BB3895"/>
    <w:rsid w:val="00BC0CBE"/>
    <w:rsid w:val="00BC5DB3"/>
    <w:rsid w:val="00BD1FC0"/>
    <w:rsid w:val="00BD577B"/>
    <w:rsid w:val="00BE472B"/>
    <w:rsid w:val="00BF0658"/>
    <w:rsid w:val="00BF3532"/>
    <w:rsid w:val="00C17901"/>
    <w:rsid w:val="00C212DB"/>
    <w:rsid w:val="00C3007A"/>
    <w:rsid w:val="00C3413C"/>
    <w:rsid w:val="00C36C8D"/>
    <w:rsid w:val="00C609A3"/>
    <w:rsid w:val="00C61397"/>
    <w:rsid w:val="00C62645"/>
    <w:rsid w:val="00C77207"/>
    <w:rsid w:val="00C812D2"/>
    <w:rsid w:val="00C91FB4"/>
    <w:rsid w:val="00CA443C"/>
    <w:rsid w:val="00CB7695"/>
    <w:rsid w:val="00CB7750"/>
    <w:rsid w:val="00CC11F2"/>
    <w:rsid w:val="00CD36FF"/>
    <w:rsid w:val="00CD5144"/>
    <w:rsid w:val="00CE0B0B"/>
    <w:rsid w:val="00CE5E42"/>
    <w:rsid w:val="00CF551C"/>
    <w:rsid w:val="00D0271E"/>
    <w:rsid w:val="00D16235"/>
    <w:rsid w:val="00D17367"/>
    <w:rsid w:val="00D3687D"/>
    <w:rsid w:val="00D41864"/>
    <w:rsid w:val="00D42BF4"/>
    <w:rsid w:val="00D43194"/>
    <w:rsid w:val="00D44036"/>
    <w:rsid w:val="00D459A9"/>
    <w:rsid w:val="00D50717"/>
    <w:rsid w:val="00D5111E"/>
    <w:rsid w:val="00D573A2"/>
    <w:rsid w:val="00D61429"/>
    <w:rsid w:val="00D63450"/>
    <w:rsid w:val="00D71694"/>
    <w:rsid w:val="00D730E4"/>
    <w:rsid w:val="00D7716B"/>
    <w:rsid w:val="00D86D62"/>
    <w:rsid w:val="00D92EF2"/>
    <w:rsid w:val="00DA05F4"/>
    <w:rsid w:val="00DA05FA"/>
    <w:rsid w:val="00DA3A05"/>
    <w:rsid w:val="00DA3CDA"/>
    <w:rsid w:val="00DA6952"/>
    <w:rsid w:val="00DB6DF5"/>
    <w:rsid w:val="00DC033E"/>
    <w:rsid w:val="00DC0840"/>
    <w:rsid w:val="00DC17CC"/>
    <w:rsid w:val="00DD67FC"/>
    <w:rsid w:val="00DD760C"/>
    <w:rsid w:val="00DE2774"/>
    <w:rsid w:val="00DE511E"/>
    <w:rsid w:val="00DE6B3D"/>
    <w:rsid w:val="00DF6024"/>
    <w:rsid w:val="00DF6DF3"/>
    <w:rsid w:val="00E04EDF"/>
    <w:rsid w:val="00E053A5"/>
    <w:rsid w:val="00E07229"/>
    <w:rsid w:val="00E11F54"/>
    <w:rsid w:val="00E12E2E"/>
    <w:rsid w:val="00E17CE6"/>
    <w:rsid w:val="00E20E26"/>
    <w:rsid w:val="00E23EFF"/>
    <w:rsid w:val="00E355AE"/>
    <w:rsid w:val="00E37857"/>
    <w:rsid w:val="00E43E6B"/>
    <w:rsid w:val="00E46BC7"/>
    <w:rsid w:val="00E570A5"/>
    <w:rsid w:val="00E60409"/>
    <w:rsid w:val="00E650F6"/>
    <w:rsid w:val="00E71B96"/>
    <w:rsid w:val="00E7203B"/>
    <w:rsid w:val="00E73A14"/>
    <w:rsid w:val="00E8016E"/>
    <w:rsid w:val="00E81772"/>
    <w:rsid w:val="00E919ED"/>
    <w:rsid w:val="00E925ED"/>
    <w:rsid w:val="00EA2BF8"/>
    <w:rsid w:val="00EB1186"/>
    <w:rsid w:val="00EB746A"/>
    <w:rsid w:val="00EC1EF0"/>
    <w:rsid w:val="00EC503D"/>
    <w:rsid w:val="00ED2819"/>
    <w:rsid w:val="00ED6D3E"/>
    <w:rsid w:val="00EE38A7"/>
    <w:rsid w:val="00EF57AA"/>
    <w:rsid w:val="00F05E6E"/>
    <w:rsid w:val="00F12DDD"/>
    <w:rsid w:val="00F22868"/>
    <w:rsid w:val="00F25269"/>
    <w:rsid w:val="00F5175D"/>
    <w:rsid w:val="00F53E83"/>
    <w:rsid w:val="00F60F0E"/>
    <w:rsid w:val="00F64F25"/>
    <w:rsid w:val="00F82ADA"/>
    <w:rsid w:val="00F90A8E"/>
    <w:rsid w:val="00F90FCE"/>
    <w:rsid w:val="00F974E1"/>
    <w:rsid w:val="00FB32DA"/>
    <w:rsid w:val="00FC2207"/>
    <w:rsid w:val="00FD17BC"/>
    <w:rsid w:val="00FD2730"/>
    <w:rsid w:val="00FD49BE"/>
    <w:rsid w:val="00FE2A15"/>
    <w:rsid w:val="00FE304D"/>
    <w:rsid w:val="00FE622E"/>
    <w:rsid w:val="00FF33AC"/>
    <w:rsid w:val="00FF5C47"/>
    <w:rsid w:val="00FF766B"/>
    <w:rsid w:val="05045099"/>
    <w:rsid w:val="0A86420F"/>
    <w:rsid w:val="2D3571B4"/>
    <w:rsid w:val="598F7D69"/>
    <w:rsid w:val="6C7856B4"/>
    <w:rsid w:val="7AB35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2">
    <w:name w:val="Default Paragraph Font"/>
    <w:semiHidden/>
    <w:unhideWhenUsed/>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rPr>
      <w:sz w:val="28"/>
    </w:rPr>
  </w:style>
  <w:style w:type="paragraph" w:styleId="3">
    <w:name w:val="Body Text Indent"/>
    <w:basedOn w:val="1"/>
    <w:qFormat/>
    <w:uiPriority w:val="0"/>
    <w:pPr>
      <w:spacing w:line="580" w:lineRule="exact"/>
      <w:ind w:firstLine="570"/>
    </w:pPr>
    <w:rPr>
      <w:rFonts w:ascii="仿宋_GB2312" w:eastAsia="仿宋_GB2312"/>
      <w:sz w:val="28"/>
    </w:rPr>
  </w:style>
  <w:style w:type="paragraph" w:styleId="4">
    <w:name w:val="Plain Text"/>
    <w:basedOn w:val="1"/>
    <w:qFormat/>
    <w:uiPriority w:val="0"/>
    <w:pPr>
      <w:widowControl/>
      <w:spacing w:before="100" w:beforeAutospacing="1" w:after="100" w:afterAutospacing="1"/>
      <w:jc w:val="left"/>
    </w:pPr>
    <w:rPr>
      <w:rFonts w:ascii="宋体" w:hAnsi="宋体" w:cs="宋体"/>
      <w:kern w:val="0"/>
      <w:sz w:val="24"/>
      <w:szCs w:val="24"/>
    </w:rPr>
  </w:style>
  <w:style w:type="paragraph" w:styleId="5">
    <w:name w:val="Date"/>
    <w:basedOn w:val="1"/>
    <w:next w:val="1"/>
    <w:qFormat/>
    <w:uiPriority w:val="0"/>
    <w:rPr>
      <w:rFonts w:ascii="仿宋_GB2312" w:eastAsia="仿宋_GB2312"/>
      <w:sz w:val="28"/>
    </w:rPr>
  </w:style>
  <w:style w:type="paragraph" w:styleId="6">
    <w:name w:val="Balloon Text"/>
    <w:basedOn w:val="1"/>
    <w:link w:val="22"/>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qFormat/>
    <w:uiPriority w:val="0"/>
    <w:pPr>
      <w:spacing w:after="120"/>
      <w:ind w:left="420" w:leftChars="200"/>
    </w:pPr>
    <w:rPr>
      <w:sz w:val="16"/>
      <w:szCs w:val="16"/>
    </w:rPr>
  </w:style>
  <w:style w:type="paragraph" w:styleId="10">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basedOn w:val="12"/>
    <w:qFormat/>
    <w:uiPriority w:val="0"/>
    <w:rPr>
      <w:color w:val="0000FF"/>
      <w:u w:val="single"/>
    </w:rPr>
  </w:style>
  <w:style w:type="character" w:customStyle="1" w:styleId="17">
    <w:name w:val="mm_word_url"/>
    <w:basedOn w:val="12"/>
    <w:qFormat/>
    <w:uiPriority w:val="0"/>
  </w:style>
  <w:style w:type="character" w:customStyle="1" w:styleId="18">
    <w:name w:val="highlight1"/>
    <w:basedOn w:val="12"/>
    <w:qFormat/>
    <w:uiPriority w:val="0"/>
    <w:rPr>
      <w:sz w:val="21"/>
      <w:szCs w:val="21"/>
    </w:rPr>
  </w:style>
  <w:style w:type="character" w:customStyle="1" w:styleId="19">
    <w:name w:val="style811"/>
    <w:basedOn w:val="12"/>
    <w:qFormat/>
    <w:uiPriority w:val="0"/>
    <w:rPr>
      <w:sz w:val="21"/>
      <w:szCs w:val="21"/>
    </w:rPr>
  </w:style>
  <w:style w:type="paragraph" w:customStyle="1" w:styleId="20">
    <w:name w:val="zi1"/>
    <w:basedOn w:val="1"/>
    <w:qFormat/>
    <w:uiPriority w:val="0"/>
    <w:pPr>
      <w:widowControl/>
      <w:spacing w:before="100" w:beforeAutospacing="1" w:after="100" w:afterAutospacing="1" w:line="300" w:lineRule="atLeast"/>
      <w:jc w:val="left"/>
    </w:pPr>
    <w:rPr>
      <w:rFonts w:ascii="宋体" w:hAnsi="宋体" w:cs="宋体"/>
      <w:color w:val="000000"/>
      <w:kern w:val="0"/>
      <w:sz w:val="18"/>
      <w:szCs w:val="18"/>
    </w:rPr>
  </w:style>
  <w:style w:type="paragraph" w:customStyle="1" w:styleId="21">
    <w:name w:val="Char"/>
    <w:basedOn w:val="1"/>
    <w:qFormat/>
    <w:uiPriority w:val="0"/>
    <w:pPr>
      <w:widowControl/>
      <w:spacing w:after="160" w:line="240" w:lineRule="exact"/>
      <w:jc w:val="left"/>
    </w:pPr>
    <w:rPr>
      <w:rFonts w:ascii="Verdana" w:hAnsi="Verdana"/>
      <w:kern w:val="0"/>
      <w:sz w:val="18"/>
      <w:lang w:eastAsia="en-US"/>
    </w:rPr>
  </w:style>
  <w:style w:type="character" w:customStyle="1" w:styleId="22">
    <w:name w:val="批注框文本 字符"/>
    <w:basedOn w:val="12"/>
    <w:link w:val="6"/>
    <w:qFormat/>
    <w:uiPriority w:val="0"/>
    <w:rPr>
      <w:kern w:val="2"/>
      <w:sz w:val="18"/>
      <w:szCs w:val="18"/>
    </w:rPr>
  </w:style>
  <w:style w:type="paragraph" w:customStyle="1" w:styleId="23">
    <w:name w:val="列出段落1"/>
    <w:basedOn w:val="1"/>
    <w:qFormat/>
    <w:uiPriority w:val="99"/>
    <w:pPr>
      <w:ind w:firstLine="420" w:firstLineChars="200"/>
    </w:pPr>
  </w:style>
  <w:style w:type="paragraph" w:styleId="24">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4</Pages>
  <Words>199</Words>
  <Characters>1140</Characters>
  <Lines>9</Lines>
  <Paragraphs>2</Paragraphs>
  <TotalTime>207</TotalTime>
  <ScaleCrop>false</ScaleCrop>
  <LinksUpToDate>false</LinksUpToDate>
  <CharactersWithSpaces>1337</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2018-12-24T03:19:00Z</dcterms:created>
  <dc:creator>SPSZZF</dc:creator>
  <cp:lastModifiedBy>Administrator</cp:lastModifiedBy>
  <dcterms:modified xsi:type="dcterms:W3CDTF">2018-12-24T07:37:44Z</dcterms:modified>
  <dc:title>2014年第四季度惠州市食品药品监督管理局食品类产品质量监督抽查工作总结</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