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w:t>
      </w:r>
      <w:bookmarkStart w:id="0" w:name="_GoBack"/>
      <w:bookmarkEnd w:id="0"/>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惠州市古树名木保护管理办法</w:t>
      </w: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(征求意见稿)</w:t>
      </w:r>
    </w:p>
    <w:p>
      <w:pPr>
        <w:pStyle w:val="3"/>
        <w:keepNext w:val="0"/>
        <w:keepLines w:val="0"/>
        <w:widowControl/>
        <w:suppressLineNumbers w:val="0"/>
        <w:spacing w:line="368" w:lineRule="atLeast"/>
        <w:ind w:firstLine="643" w:firstLineChars="200"/>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为加强对古树名木的保护，促进生态环境建设和经济社会的协调发展，根据《中华人民共和国森林法》、《城市古树名木保护管理办法》、《中华人民共和国野生植物保护条例》和《广东省城市绿化条例》等有关规定,结合本市实际,制定本办法。</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rPr>
        <w:t>第二条</w:t>
      </w:r>
      <w:r>
        <w:rPr>
          <w:rFonts w:hint="eastAsia" w:ascii="仿宋" w:hAnsi="仿宋" w:eastAsia="仿宋" w:cs="仿宋"/>
          <w:sz w:val="32"/>
          <w:szCs w:val="32"/>
        </w:rPr>
        <w:t>　本市行政区域内古树名木和古树后备资源的保护管理，适用本办法。</w:t>
      </w:r>
    </w:p>
    <w:p>
      <w:pPr>
        <w:pStyle w:val="3"/>
        <w:keepNext w:val="0"/>
        <w:keepLines w:val="0"/>
        <w:widowControl/>
        <w:suppressLineNumbers w:val="0"/>
        <w:spacing w:line="368" w:lineRule="atLeast"/>
        <w:ind w:left="640" w:leftChars="200" w:firstLine="0" w:firstLineChars="0"/>
        <w:rPr>
          <w:rFonts w:hint="eastAsia" w:ascii="仿宋" w:hAnsi="仿宋" w:eastAsia="仿宋" w:cs="仿宋"/>
          <w:sz w:val="32"/>
          <w:szCs w:val="32"/>
          <w:lang w:eastAsia="zh-CN"/>
        </w:rPr>
      </w:pPr>
      <w:r>
        <w:rPr>
          <w:rFonts w:hint="eastAsia" w:ascii="仿宋" w:hAnsi="仿宋" w:eastAsia="仿宋" w:cs="仿宋"/>
          <w:b/>
          <w:bCs/>
          <w:sz w:val="32"/>
          <w:szCs w:val="32"/>
        </w:rPr>
        <w:t>第三条　</w:t>
      </w:r>
      <w:r>
        <w:rPr>
          <w:rFonts w:hint="eastAsia" w:ascii="仿宋" w:hAnsi="仿宋" w:eastAsia="仿宋" w:cs="仿宋"/>
          <w:sz w:val="32"/>
          <w:szCs w:val="32"/>
        </w:rPr>
        <w:t>本办法所称古树，是指树龄在100年以上的树木</w:t>
      </w:r>
      <w:r>
        <w:rPr>
          <w:rFonts w:hint="eastAsia" w:ascii="仿宋" w:hAnsi="仿宋" w:eastAsia="仿宋" w:cs="仿宋"/>
          <w:sz w:val="32"/>
          <w:szCs w:val="32"/>
          <w:lang w:eastAsia="zh-CN"/>
        </w:rPr>
        <w:t>。</w:t>
      </w:r>
    </w:p>
    <w:p>
      <w:pPr>
        <w:pStyle w:val="3"/>
        <w:keepNext w:val="0"/>
        <w:keepLines w:val="0"/>
        <w:widowControl/>
        <w:suppressLineNumbers w:val="0"/>
        <w:spacing w:line="368" w:lineRule="atLeast"/>
        <w:ind w:firstLine="640" w:firstLineChars="200"/>
        <w:jc w:val="both"/>
        <w:rPr>
          <w:rFonts w:hint="eastAsia" w:ascii="仿宋" w:hAnsi="仿宋" w:eastAsia="仿宋" w:cs="仿宋"/>
          <w:sz w:val="32"/>
          <w:szCs w:val="32"/>
        </w:rPr>
      </w:pPr>
      <w:r>
        <w:rPr>
          <w:rFonts w:hint="eastAsia" w:ascii="仿宋" w:hAnsi="仿宋" w:eastAsia="仿宋" w:cs="仿宋"/>
          <w:sz w:val="32"/>
          <w:szCs w:val="32"/>
        </w:rPr>
        <w:t>本办法所称名木，是指稀有、珍贵或者具有重要历史、文化、科学研究价值和纪念意义的树木。</w:t>
      </w:r>
    </w:p>
    <w:p>
      <w:pPr>
        <w:pStyle w:val="3"/>
        <w:keepNext w:val="0"/>
        <w:keepLines w:val="0"/>
        <w:widowControl/>
        <w:suppressLineNumbers w:val="0"/>
        <w:spacing w:line="368" w:lineRule="atLeast"/>
        <w:ind w:firstLine="640" w:firstLineChars="200"/>
        <w:jc w:val="left"/>
        <w:rPr>
          <w:rFonts w:hint="eastAsia" w:ascii="仿宋" w:hAnsi="仿宋" w:eastAsia="仿宋" w:cs="仿宋"/>
          <w:sz w:val="32"/>
          <w:szCs w:val="32"/>
        </w:rPr>
      </w:pPr>
      <w:r>
        <w:rPr>
          <w:rFonts w:hint="eastAsia" w:ascii="仿宋" w:hAnsi="仿宋" w:eastAsia="仿宋" w:cs="仿宋"/>
          <w:sz w:val="32"/>
          <w:szCs w:val="32"/>
        </w:rPr>
        <w:t>本办法所称古树后备资源，是指树龄在50年以上100年以下，有较大的保护价值，并经县级人民政府审核确认予以保护的树木。</w:t>
      </w:r>
    </w:p>
    <w:p>
      <w:pPr>
        <w:pStyle w:val="3"/>
        <w:keepNext w:val="0"/>
        <w:keepLines w:val="0"/>
        <w:widowControl/>
        <w:suppressLineNumbers w:val="0"/>
        <w:spacing w:line="368" w:lineRule="atLeast"/>
        <w:ind w:firstLine="640"/>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县级以上绿化委员会，负责本行政区域内古树名木保护管理的领导、组织、协调和指导工作。</w:t>
      </w:r>
    </w:p>
    <w:p>
      <w:pPr>
        <w:pStyle w:val="3"/>
        <w:keepNext w:val="0"/>
        <w:keepLines w:val="0"/>
        <w:widowControl/>
        <w:suppressLineNumbers w:val="0"/>
        <w:spacing w:line="368" w:lineRule="atLeast"/>
        <w:ind w:firstLine="640"/>
        <w:rPr>
          <w:rFonts w:hint="eastAsia" w:ascii="仿宋" w:hAnsi="仿宋" w:eastAsia="仿宋" w:cs="仿宋"/>
          <w:sz w:val="32"/>
          <w:szCs w:val="32"/>
        </w:rPr>
      </w:pPr>
      <w:r>
        <w:rPr>
          <w:rFonts w:hint="eastAsia" w:ascii="仿宋" w:hAnsi="仿宋" w:eastAsia="仿宋" w:cs="仿宋"/>
          <w:sz w:val="32"/>
          <w:szCs w:val="32"/>
        </w:rPr>
        <w:t>县级以上林业行政主管部门负责本行政区域内农村古树名木的保护管理工作；县级以上城市园林绿化行政主管部门按规定职责负责</w:t>
      </w:r>
      <w:r>
        <w:rPr>
          <w:rFonts w:hint="eastAsia" w:ascii="仿宋" w:hAnsi="仿宋" w:eastAsia="仿宋" w:cs="仿宋"/>
          <w:sz w:val="32"/>
          <w:szCs w:val="32"/>
          <w:lang w:eastAsia="zh-CN"/>
        </w:rPr>
        <w:t>本行政区域内</w:t>
      </w:r>
      <w:r>
        <w:rPr>
          <w:rFonts w:hint="eastAsia" w:ascii="仿宋" w:hAnsi="仿宋" w:eastAsia="仿宋" w:cs="仿宋"/>
          <w:sz w:val="32"/>
          <w:szCs w:val="32"/>
        </w:rPr>
        <w:t>城市古树名木的保护管理工作。</w:t>
      </w:r>
    </w:p>
    <w:p>
      <w:pPr>
        <w:pStyle w:val="3"/>
        <w:keepNext w:val="0"/>
        <w:keepLines w:val="0"/>
        <w:widowControl/>
        <w:suppressLineNumbers w:val="0"/>
        <w:spacing w:line="368" w:lineRule="atLeast"/>
        <w:ind w:firstLine="640"/>
        <w:rPr>
          <w:rFonts w:hint="eastAsia" w:ascii="仿宋" w:hAnsi="仿宋" w:eastAsia="仿宋" w:cs="仿宋"/>
          <w:sz w:val="32"/>
          <w:szCs w:val="32"/>
        </w:rPr>
      </w:pPr>
      <w:r>
        <w:rPr>
          <w:rFonts w:hint="eastAsia" w:ascii="仿宋" w:hAnsi="仿宋" w:eastAsia="仿宋" w:cs="仿宋"/>
          <w:sz w:val="32"/>
          <w:szCs w:val="32"/>
        </w:rPr>
        <w:t>县级以上林业行政主管部门、城市园林绿化行政主管部门以下统称古树名木行政主管部门。</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第五条</w:t>
      </w:r>
      <w:r>
        <w:rPr>
          <w:rFonts w:hint="eastAsia" w:ascii="仿宋" w:hAnsi="仿宋" w:eastAsia="仿宋" w:cs="仿宋"/>
          <w:sz w:val="32"/>
          <w:szCs w:val="32"/>
        </w:rPr>
        <w:t>　古树名木的保护应当遵循属地管理原则，坚持专业保护与公众保护相结合、定期养护与日常养护相结合。</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第六条</w:t>
      </w:r>
      <w:r>
        <w:rPr>
          <w:rFonts w:hint="eastAsia" w:ascii="仿宋" w:hAnsi="仿宋" w:eastAsia="仿宋" w:cs="仿宋"/>
          <w:sz w:val="32"/>
          <w:szCs w:val="32"/>
        </w:rPr>
        <w:t>　各级人民政府应当加强对古树名木保护的宣传教育，普及保护知识，提高保护和管理水平；鼓励和促进古树名木保护的科学研究，推广古树名木保护科研成果。</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第七条</w:t>
      </w:r>
      <w:r>
        <w:rPr>
          <w:rFonts w:hint="eastAsia" w:ascii="仿宋" w:hAnsi="仿宋" w:eastAsia="仿宋" w:cs="仿宋"/>
          <w:sz w:val="32"/>
          <w:szCs w:val="32"/>
        </w:rPr>
        <w:t>　任何单位和个人都有保护古树名木的义务，不得损害和自行处置古树名木，对损害古树名木的行为有批评、劝阻和举报的权利。</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第八条</w:t>
      </w:r>
      <w:r>
        <w:rPr>
          <w:rFonts w:hint="eastAsia" w:ascii="仿宋" w:hAnsi="仿宋" w:eastAsia="仿宋" w:cs="仿宋"/>
          <w:sz w:val="32"/>
          <w:szCs w:val="32"/>
        </w:rPr>
        <w:t>　县级以上人民政府应当每5年组织一次对辖区内古树名木资源普查，并及时将古树名木名录等普查信息向社会公布。</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第九条</w:t>
      </w:r>
      <w:r>
        <w:rPr>
          <w:rFonts w:hint="eastAsia" w:ascii="仿宋" w:hAnsi="仿宋" w:eastAsia="仿宋" w:cs="仿宋"/>
          <w:sz w:val="32"/>
          <w:szCs w:val="32"/>
        </w:rPr>
        <w:t>　古树实行分级保护：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（一）树龄在500年及以上的古树实行一级保护。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（二）树龄在300年及以上500年以下的古树实行二级保护。</w:t>
      </w:r>
    </w:p>
    <w:p>
      <w:pPr>
        <w:pStyle w:val="3"/>
        <w:keepNext w:val="0"/>
        <w:keepLines w:val="0"/>
        <w:widowControl/>
        <w:suppressLineNumbers w:val="0"/>
        <w:spacing w:line="368" w:lineRule="atLeast"/>
        <w:ind w:left="640" w:hanging="640" w:hangingChars="200"/>
        <w:rPr>
          <w:rFonts w:hint="eastAsia" w:ascii="仿宋" w:hAnsi="仿宋" w:eastAsia="仿宋" w:cs="仿宋"/>
          <w:sz w:val="32"/>
          <w:szCs w:val="32"/>
        </w:rPr>
      </w:pPr>
      <w:r>
        <w:rPr>
          <w:rFonts w:hint="eastAsia" w:ascii="仿宋" w:hAnsi="仿宋" w:eastAsia="仿宋" w:cs="仿宋"/>
          <w:sz w:val="32"/>
          <w:szCs w:val="32"/>
        </w:rPr>
        <w:t>　 （三）树龄在100年及以上300年以下的古树实行三级保护。名木均实行一级保护。</w:t>
      </w:r>
    </w:p>
    <w:p>
      <w:pPr>
        <w:spacing w:beforeLines="0" w:afterLines="0"/>
        <w:ind w:firstLine="643" w:firstLineChars="200"/>
        <w:jc w:val="both"/>
        <w:rPr>
          <w:rFonts w:hint="eastAsia" w:ascii="黑体" w:hAnsi="黑体" w:eastAsia="黑体"/>
          <w:sz w:val="32"/>
        </w:rPr>
      </w:pPr>
      <w:r>
        <w:rPr>
          <w:rFonts w:hint="eastAsia" w:ascii="仿宋" w:hAnsi="仿宋" w:eastAsia="仿宋" w:cs="仿宋"/>
          <w:b/>
          <w:bCs/>
          <w:sz w:val="32"/>
          <w:szCs w:val="32"/>
        </w:rPr>
        <w:t>第十条</w:t>
      </w:r>
      <w:r>
        <w:rPr>
          <w:rFonts w:hint="eastAsia" w:ascii="仿宋" w:hAnsi="仿宋" w:eastAsia="仿宋" w:cs="仿宋"/>
          <w:sz w:val="32"/>
          <w:szCs w:val="32"/>
        </w:rPr>
        <w:t>　</w:t>
      </w:r>
      <w:r>
        <w:rPr>
          <w:rFonts w:hint="eastAsia" w:ascii="仿宋" w:hAnsi="仿宋" w:eastAsia="仿宋"/>
          <w:sz w:val="32"/>
        </w:rPr>
        <w:t>古树名木鉴定</w:t>
      </w:r>
      <w:r>
        <w:rPr>
          <w:rFonts w:hint="eastAsia" w:ascii="仿宋" w:hAnsi="仿宋" w:eastAsia="仿宋"/>
          <w:sz w:val="32"/>
          <w:lang w:eastAsia="zh-CN"/>
        </w:rPr>
        <w:t>：</w:t>
      </w:r>
      <w:r>
        <w:rPr>
          <w:rFonts w:hint="eastAsia" w:ascii="仿宋" w:hAnsi="仿宋" w:eastAsia="仿宋"/>
          <w:sz w:val="32"/>
        </w:rPr>
        <w:t> 一、二、三级古树</w:t>
      </w:r>
      <w:r>
        <w:rPr>
          <w:rFonts w:hint="eastAsia" w:ascii="仿宋" w:hAnsi="仿宋" w:eastAsia="仿宋"/>
          <w:sz w:val="32"/>
          <w:lang w:eastAsia="zh-CN"/>
        </w:rPr>
        <w:t>和</w:t>
      </w:r>
      <w:r>
        <w:rPr>
          <w:rFonts w:hint="eastAsia" w:ascii="仿宋" w:hAnsi="仿宋" w:eastAsia="仿宋"/>
          <w:sz w:val="32"/>
        </w:rPr>
        <w:t>名木</w:t>
      </w:r>
      <w:r>
        <w:rPr>
          <w:rFonts w:hint="eastAsia" w:ascii="仿宋" w:hAnsi="仿宋" w:eastAsia="仿宋"/>
          <w:sz w:val="32"/>
          <w:lang w:eastAsia="zh-CN"/>
        </w:rPr>
        <w:t>的鉴定</w:t>
      </w:r>
      <w:r>
        <w:rPr>
          <w:rFonts w:hint="eastAsia" w:ascii="仿宋" w:hAnsi="仿宋" w:eastAsia="仿宋"/>
          <w:sz w:val="32"/>
        </w:rPr>
        <w:t>由所在县级绿化委员会负责组织林业、城市绿化行政主管部门成立专家委员会进行鉴定</w:t>
      </w:r>
      <w:r>
        <w:rPr>
          <w:rFonts w:hint="eastAsia" w:ascii="仿宋" w:hAnsi="仿宋" w:eastAsia="仿宋"/>
          <w:sz w:val="32"/>
          <w:lang w:eastAsia="zh-CN"/>
        </w:rPr>
        <w:t>，</w:t>
      </w:r>
      <w:r>
        <w:rPr>
          <w:rFonts w:hint="eastAsia" w:ascii="仿宋" w:hAnsi="仿宋" w:eastAsia="仿宋"/>
          <w:sz w:val="32"/>
        </w:rPr>
        <w:t>鉴定结果</w:t>
      </w:r>
      <w:r>
        <w:rPr>
          <w:rFonts w:hint="eastAsia" w:ascii="仿宋" w:hAnsi="仿宋" w:eastAsia="仿宋"/>
          <w:sz w:val="32"/>
          <w:lang w:eastAsia="zh-CN"/>
        </w:rPr>
        <w:t>为</w:t>
      </w:r>
      <w:r>
        <w:rPr>
          <w:rFonts w:hint="eastAsia" w:ascii="仿宋" w:hAnsi="仿宋" w:eastAsia="仿宋"/>
          <w:sz w:val="32"/>
        </w:rPr>
        <w:t>一级古树和名木</w:t>
      </w:r>
      <w:r>
        <w:rPr>
          <w:rFonts w:hint="eastAsia" w:ascii="仿宋" w:hAnsi="仿宋" w:eastAsia="仿宋"/>
          <w:sz w:val="32"/>
          <w:lang w:eastAsia="zh-CN"/>
        </w:rPr>
        <w:t>的</w:t>
      </w:r>
      <w:r>
        <w:rPr>
          <w:rFonts w:hint="eastAsia" w:ascii="仿宋" w:hAnsi="仿宋" w:eastAsia="仿宋"/>
          <w:sz w:val="32"/>
        </w:rPr>
        <w:t>报省级绿化委员会审定，二级古树报地市级绿化委员会审定，三级古树由县级绿化委员会自行审定。</w:t>
      </w:r>
    </w:p>
    <w:p>
      <w:pPr>
        <w:spacing w:beforeLines="0" w:afterLines="0"/>
        <w:ind w:firstLine="640" w:firstLineChars="200"/>
        <w:jc w:val="left"/>
        <w:rPr>
          <w:rFonts w:hint="eastAsia" w:ascii="仿宋_GB2312" w:hAnsi="仿宋_GB2312" w:eastAsia="仿宋_GB2312" w:cs="仿宋_GB2312"/>
          <w:b w:val="0"/>
          <w:i w:val="0"/>
          <w:caps w:val="0"/>
          <w:color w:val="333333"/>
          <w:spacing w:val="0"/>
          <w:sz w:val="32"/>
          <w:szCs w:val="32"/>
        </w:rPr>
      </w:pPr>
      <w:r>
        <w:rPr>
          <w:rFonts w:hint="eastAsia" w:ascii="仿宋_GB2312" w:hAnsi="仿宋_GB2312" w:eastAsia="仿宋_GB2312" w:cs="仿宋_GB2312"/>
          <w:b w:val="0"/>
          <w:bCs w:val="0"/>
          <w:sz w:val="32"/>
        </w:rPr>
        <w:t>古树名木鉴定结果的认定与发布</w:t>
      </w:r>
      <w:r>
        <w:rPr>
          <w:rFonts w:hint="eastAsia" w:ascii="仿宋_GB2312" w:hAnsi="仿宋_GB2312" w:eastAsia="仿宋_GB2312" w:cs="仿宋_GB2312"/>
          <w:b w:val="0"/>
          <w:bCs w:val="0"/>
          <w:sz w:val="32"/>
          <w:lang w:eastAsia="zh-CN"/>
        </w:rPr>
        <w:t>：</w:t>
      </w:r>
      <w:r>
        <w:rPr>
          <w:rFonts w:hint="eastAsia" w:ascii="仿宋" w:hAnsi="仿宋" w:eastAsia="仿宋"/>
          <w:sz w:val="32"/>
        </w:rPr>
        <w:t>对一级古树和名木的审定结果，由省级绿化委员会报省级人民政府认定后公布。对二级古树的审定结果，由市级绿化委员会报市级人民政府认定后公布，报省级绿化委员会备案。对三级古树的审定结果，由县级绿化委员会报县级人民政府认定后公布</w:t>
      </w:r>
      <w:r>
        <w:rPr>
          <w:rFonts w:hint="eastAsia" w:ascii="仿宋" w:hAnsi="仿宋" w:eastAsia="仿宋"/>
          <w:sz w:val="32"/>
          <w:lang w:eastAsia="zh-CN"/>
        </w:rPr>
        <w:t>，</w:t>
      </w:r>
      <w:r>
        <w:rPr>
          <w:rFonts w:hint="eastAsia" w:ascii="仿宋" w:hAnsi="仿宋" w:eastAsia="仿宋"/>
          <w:sz w:val="32"/>
        </w:rPr>
        <w:t>报市级绿化委员会备案。</w:t>
      </w:r>
    </w:p>
    <w:p>
      <w:pPr>
        <w:pStyle w:val="3"/>
        <w:keepNext w:val="0"/>
        <w:keepLines w:val="0"/>
        <w:widowControl/>
        <w:suppressLineNumbers w:val="0"/>
        <w:spacing w:line="368" w:lineRule="atLeast"/>
        <w:ind w:firstLine="640" w:firstLineChars="200"/>
        <w:jc w:val="both"/>
        <w:rPr>
          <w:rFonts w:hint="eastAsia" w:ascii="仿宋" w:hAnsi="仿宋" w:eastAsia="仿宋" w:cs="仿宋"/>
          <w:sz w:val="32"/>
          <w:szCs w:val="32"/>
        </w:rPr>
      </w:pPr>
      <w:r>
        <w:rPr>
          <w:rFonts w:hint="eastAsia" w:ascii="仿宋" w:hAnsi="仿宋" w:eastAsia="仿宋" w:cs="仿宋"/>
          <w:sz w:val="32"/>
          <w:szCs w:val="32"/>
        </w:rPr>
        <w:t>鼓励单位和个人向县</w:t>
      </w:r>
      <w:r>
        <w:rPr>
          <w:rFonts w:hint="eastAsia" w:ascii="仿宋" w:hAnsi="仿宋" w:eastAsia="仿宋" w:cs="仿宋"/>
          <w:sz w:val="32"/>
          <w:szCs w:val="32"/>
          <w:lang w:eastAsia="zh-CN"/>
        </w:rPr>
        <w:t>、区林业、城市园林绿化部门</w:t>
      </w:r>
      <w:r>
        <w:rPr>
          <w:rFonts w:hint="eastAsia" w:ascii="仿宋" w:hAnsi="仿宋" w:eastAsia="仿宋" w:cs="仿宋"/>
          <w:sz w:val="32"/>
          <w:szCs w:val="32"/>
        </w:rPr>
        <w:t>报告发现古树名木资源，县</w:t>
      </w:r>
      <w:r>
        <w:rPr>
          <w:rFonts w:hint="eastAsia" w:ascii="仿宋" w:hAnsi="仿宋" w:eastAsia="仿宋" w:cs="仿宋"/>
          <w:sz w:val="32"/>
          <w:szCs w:val="32"/>
          <w:lang w:eastAsia="zh-CN"/>
        </w:rPr>
        <w:t>、区林业、城市园林绿化部门</w:t>
      </w:r>
      <w:r>
        <w:rPr>
          <w:rFonts w:hint="eastAsia" w:ascii="仿宋" w:hAnsi="仿宋" w:eastAsia="仿宋" w:cs="仿宋"/>
          <w:sz w:val="32"/>
          <w:szCs w:val="32"/>
        </w:rPr>
        <w:t>应当对新发现的古树名木资源进行调查、核实，更新古树名木资源档案。</w:t>
      </w:r>
    </w:p>
    <w:p>
      <w:pPr>
        <w:pStyle w:val="3"/>
        <w:keepNext w:val="0"/>
        <w:keepLines w:val="0"/>
        <w:widowControl/>
        <w:suppressLineNumbers w:val="0"/>
        <w:spacing w:line="360" w:lineRule="auto"/>
        <w:ind w:firstLine="640" w:firstLineChars="200"/>
        <w:jc w:val="both"/>
        <w:rPr>
          <w:rFonts w:hint="eastAsia" w:ascii="仿宋" w:hAnsi="仿宋" w:eastAsia="仿宋" w:cs="仿宋"/>
          <w:sz w:val="32"/>
          <w:szCs w:val="32"/>
        </w:rPr>
      </w:pPr>
      <w:r>
        <w:rPr>
          <w:rFonts w:hint="eastAsia" w:ascii="仿宋" w:hAnsi="仿宋" w:eastAsia="仿宋" w:cs="仿宋"/>
          <w:sz w:val="32"/>
          <w:szCs w:val="32"/>
        </w:rPr>
        <w:t>古树名木行政主管部门可以根据当地古树名木资源情况，每5年确定一批树龄在50年以上100年以下的树木作为古树后备资源，参照三级古树的保护措施实行保护。</w:t>
      </w:r>
    </w:p>
    <w:p>
      <w:pPr>
        <w:pStyle w:val="3"/>
        <w:keepNext w:val="0"/>
        <w:keepLines w:val="0"/>
        <w:widowControl/>
        <w:numPr>
          <w:ilvl w:val="0"/>
          <w:numId w:val="0"/>
        </w:numPr>
        <w:suppressLineNumbers w:val="0"/>
        <w:spacing w:line="368" w:lineRule="atLeast"/>
        <w:ind w:right="0" w:rightChars="0" w:firstLine="643" w:firstLineChars="200"/>
        <w:jc w:val="both"/>
        <w:rPr>
          <w:rFonts w:hint="eastAsia" w:ascii="仿宋" w:hAnsi="仿宋" w:eastAsia="仿宋" w:cs="仿宋"/>
          <w:sz w:val="32"/>
          <w:szCs w:val="32"/>
          <w:lang w:eastAsia="zh-CN"/>
        </w:rPr>
      </w:pPr>
      <w:r>
        <w:rPr>
          <w:rFonts w:hint="eastAsia" w:ascii="仿宋" w:hAnsi="仿宋" w:eastAsia="仿宋" w:cs="仿宋"/>
          <w:b/>
          <w:bCs/>
          <w:sz w:val="32"/>
          <w:szCs w:val="32"/>
        </w:rPr>
        <w:t>第十</w:t>
      </w:r>
      <w:r>
        <w:rPr>
          <w:rFonts w:hint="eastAsia" w:ascii="仿宋" w:hAnsi="仿宋" w:eastAsia="仿宋" w:cs="仿宋"/>
          <w:b/>
          <w:bCs/>
          <w:sz w:val="32"/>
          <w:szCs w:val="32"/>
          <w:lang w:eastAsia="zh-CN"/>
        </w:rPr>
        <w:t>一</w:t>
      </w:r>
      <w:r>
        <w:rPr>
          <w:rFonts w:hint="eastAsia" w:ascii="仿宋" w:hAnsi="仿宋" w:eastAsia="仿宋" w:cs="仿宋"/>
          <w:b/>
          <w:bCs/>
          <w:sz w:val="32"/>
          <w:szCs w:val="32"/>
        </w:rPr>
        <w:t>条</w:t>
      </w:r>
      <w:r>
        <w:rPr>
          <w:rFonts w:hint="eastAsia" w:ascii="仿宋" w:hAnsi="仿宋" w:eastAsia="仿宋" w:cs="仿宋"/>
          <w:sz w:val="32"/>
          <w:szCs w:val="32"/>
        </w:rPr>
        <w:t>县、区古树名木行政主管部门应当按照</w:t>
      </w:r>
      <w:r>
        <w:rPr>
          <w:rFonts w:hint="eastAsia" w:ascii="仿宋_GB2312" w:hAnsi="仿宋_GB2312" w:eastAsia="仿宋_GB2312" w:cs="仿宋_GB2312"/>
          <w:sz w:val="32"/>
          <w:szCs w:val="32"/>
        </w:rPr>
        <w:t>国家林业局发布</w:t>
      </w:r>
      <w:r>
        <w:rPr>
          <w:rFonts w:hint="eastAsia" w:ascii="仿宋_GB2312" w:hAnsi="仿宋_GB2312" w:cs="仿宋_GB2312"/>
          <w:sz w:val="32"/>
          <w:szCs w:val="32"/>
          <w:lang w:eastAsia="zh-CN"/>
        </w:rPr>
        <w:t>的</w:t>
      </w:r>
      <w:r>
        <w:rPr>
          <w:rFonts w:hint="eastAsia" w:ascii="仿宋_GB2312" w:hAnsi="仿宋_GB2312" w:eastAsia="仿宋_GB2312" w:cs="仿宋_GB2312"/>
          <w:sz w:val="32"/>
          <w:szCs w:val="32"/>
        </w:rPr>
        <w:t>《古树名木鉴定规范》(LY/T2737-2016)和《古树名木普查枝术规范》(LY/T2738-2016)规定，</w:t>
      </w:r>
      <w:r>
        <w:rPr>
          <w:rFonts w:hint="eastAsia" w:ascii="仿宋" w:hAnsi="仿宋" w:eastAsia="仿宋" w:cs="仿宋"/>
          <w:sz w:val="32"/>
          <w:szCs w:val="32"/>
        </w:rPr>
        <w:t>对本行政区域内的古树名木进行统一调查登记，鉴定分级、建立档案、制定养护措施、确定管护责任单位或者责任人</w:t>
      </w:r>
      <w:r>
        <w:rPr>
          <w:rFonts w:hint="eastAsia" w:ascii="仿宋" w:hAnsi="仿宋" w:eastAsia="仿宋" w:cs="仿宋"/>
          <w:sz w:val="32"/>
          <w:szCs w:val="32"/>
          <w:lang w:eastAsia="zh-CN"/>
        </w:rPr>
        <w:t>。</w:t>
      </w:r>
    </w:p>
    <w:p>
      <w:pPr>
        <w:pStyle w:val="3"/>
        <w:keepNext w:val="0"/>
        <w:keepLines w:val="0"/>
        <w:widowControl/>
        <w:numPr>
          <w:ilvl w:val="0"/>
          <w:numId w:val="0"/>
        </w:numPr>
        <w:suppressLineNumbers w:val="0"/>
        <w:spacing w:line="368" w:lineRule="atLeast"/>
        <w:ind w:right="0" w:rightChars="0" w:firstLine="643" w:firstLineChars="200"/>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县、区古树名木行政主管部门应对古树名木设立保护牌，保护牌应当标明树名、学名、科属、树龄、名贵特点和管护责任单位或者管护责任人等内容。　</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第十三条　</w:t>
      </w:r>
      <w:r>
        <w:rPr>
          <w:rFonts w:hint="eastAsia" w:ascii="仿宋" w:hAnsi="仿宋" w:eastAsia="仿宋" w:cs="仿宋"/>
          <w:sz w:val="32"/>
          <w:szCs w:val="32"/>
        </w:rPr>
        <w:t>古树名木行政主管部门应当定期对古树名木生长和管护情况进行检查。对长势濒危的古树名木制订抢救措施，并监督实施。　</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第十四条</w:t>
      </w:r>
      <w:r>
        <w:rPr>
          <w:rFonts w:hint="eastAsia" w:ascii="仿宋" w:hAnsi="仿宋" w:eastAsia="仿宋" w:cs="仿宋"/>
          <w:sz w:val="32"/>
          <w:szCs w:val="32"/>
        </w:rPr>
        <w:t>　古树名木的管护责任单位或管护责任人，按下列规定确定：</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（一）生长在机关、团体、部队、企业、事业、文物保护单位共用地范围内的，所在单位为管护责任单位。</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（二）生长在公园、广场、公共绿地、城市道路上的，由所在地城市园林绿化管理部门管护。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（三）生长在铁路、公路、水库、河道用地范围的，由铁路、公路和水利工程管理单位管护。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（四）生长在森林公园、风景名胜区、自然保护区以及其他林业用地上的，由该园区的管理机构管护。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（五）生长在居住小区内的，由业主委托的物业服务企业或者街道办事处管护。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（六）生长在城镇居民院内或村民住宅院内的，由该业主管护。　</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（七）生长在农村承包土地（含耕地、林地以及其他依法用于农业的土地）上的，由该承包人管护。</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（八）其他生长在农村不便明确由个人管护的，由该村民委员会或村民小组管护。古树名木管护责任单位或者个人发生变更的，应及时办理管护责任转移手续。</w:t>
      </w:r>
    </w:p>
    <w:p>
      <w:pPr>
        <w:pStyle w:val="3"/>
        <w:keepNext w:val="0"/>
        <w:keepLines w:val="0"/>
        <w:widowControl/>
        <w:suppressLineNumbers w:val="0"/>
        <w:spacing w:line="368" w:lineRule="atLeas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第十五条　</w:t>
      </w:r>
      <w:r>
        <w:rPr>
          <w:rFonts w:hint="eastAsia" w:ascii="仿宋" w:hAnsi="仿宋" w:eastAsia="仿宋" w:cs="仿宋"/>
          <w:sz w:val="32"/>
          <w:szCs w:val="32"/>
        </w:rPr>
        <w:t>县级以上人民政府应当每年安排一定资金专款用于古树名木调查建档、病虫害防治、复壮、抢救等保护管理工作，将古树名木保护经费纳入同级财政预算。鼓励单位和个人资助古树名木的养护。</w:t>
      </w:r>
    </w:p>
    <w:p>
      <w:pPr>
        <w:pStyle w:val="3"/>
        <w:keepNext w:val="0"/>
        <w:keepLines w:val="0"/>
        <w:widowControl/>
        <w:suppressLineNumbers w:val="0"/>
        <w:spacing w:line="368" w:lineRule="atLeast"/>
        <w:ind w:firstLine="640"/>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古树名木的管护责任单位或责任人，必须按照古树名木管护技术规范，精心管理，确保古树名木正常生长。</w:t>
      </w:r>
    </w:p>
    <w:p>
      <w:pPr>
        <w:pStyle w:val="3"/>
        <w:keepNext w:val="0"/>
        <w:keepLines w:val="0"/>
        <w:widowControl/>
        <w:suppressLineNumbers w:val="0"/>
        <w:spacing w:line="368" w:lineRule="atLeast"/>
        <w:ind w:firstLine="640"/>
        <w:rPr>
          <w:rFonts w:hint="eastAsia" w:ascii="仿宋" w:hAnsi="仿宋" w:eastAsia="仿宋" w:cs="仿宋"/>
          <w:sz w:val="32"/>
          <w:szCs w:val="32"/>
        </w:rPr>
      </w:pPr>
      <w:r>
        <w:rPr>
          <w:rFonts w:hint="eastAsia" w:ascii="仿宋" w:hAnsi="仿宋" w:eastAsia="仿宋" w:cs="仿宋"/>
          <w:sz w:val="32"/>
          <w:szCs w:val="32"/>
        </w:rPr>
        <w:t>古树名木发生病虫害、遭受人为损害或者雷击等自然损伤或者出现长势衰弱、濒危症状的，管护责任单位或责任人应当及时报告古树名木行政主管部门，并按照古树名木行政主管部门的要求协助进行治理、复壮。</w:t>
      </w:r>
    </w:p>
    <w:p>
      <w:pPr>
        <w:pStyle w:val="3"/>
        <w:keepNext w:val="0"/>
        <w:keepLines w:val="0"/>
        <w:widowControl/>
        <w:numPr>
          <w:ilvl w:val="0"/>
          <w:numId w:val="0"/>
        </w:numPr>
        <w:suppressLineNumbers w:val="0"/>
        <w:spacing w:line="368" w:lineRule="atLeast"/>
        <w:ind w:right="0" w:rightChars="0" w:firstLine="643" w:firstLineChars="200"/>
        <w:jc w:val="left"/>
        <w:rPr>
          <w:rFonts w:hint="eastAsia" w:ascii="仿宋" w:hAnsi="仿宋" w:eastAsia="仿宋" w:cs="仿宋"/>
          <w:sz w:val="32"/>
          <w:szCs w:val="32"/>
        </w:rPr>
      </w:pPr>
      <w:r>
        <w:rPr>
          <w:rFonts w:hint="eastAsia" w:ascii="仿宋" w:hAnsi="仿宋" w:eastAsia="仿宋" w:cs="仿宋"/>
          <w:b/>
          <w:bCs/>
          <w:sz w:val="32"/>
          <w:szCs w:val="32"/>
          <w:lang w:eastAsia="zh-CN"/>
        </w:rPr>
        <w:t>第十七条</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古树名木死亡的，养护责任单位或者责任人应当及时向县级古树名木行政主管部门报告。任何单位和个人不得擅自处理未经古树名木行政主管部门确认死亡的古树名木。</w:t>
      </w:r>
    </w:p>
    <w:p>
      <w:pPr>
        <w:pStyle w:val="3"/>
        <w:keepNext w:val="0"/>
        <w:keepLines w:val="0"/>
        <w:widowControl/>
        <w:numPr>
          <w:ilvl w:val="0"/>
          <w:numId w:val="0"/>
        </w:numPr>
        <w:suppressLineNumbers w:val="0"/>
        <w:spacing w:line="368" w:lineRule="atLeast"/>
        <w:ind w:right="0" w:rightChars="0" w:firstLine="640" w:firstLineChars="200"/>
        <w:jc w:val="left"/>
        <w:rPr>
          <w:rFonts w:hint="eastAsia" w:ascii="仿宋" w:hAnsi="仿宋" w:eastAsia="仿宋" w:cs="仿宋"/>
          <w:sz w:val="32"/>
          <w:szCs w:val="32"/>
        </w:rPr>
      </w:pPr>
      <w:r>
        <w:rPr>
          <w:rFonts w:hint="eastAsia" w:ascii="仿宋" w:hAnsi="仿宋" w:eastAsia="仿宋" w:cs="仿宋"/>
          <w:sz w:val="32"/>
          <w:szCs w:val="32"/>
        </w:rPr>
        <w:t>古树名木行政主管部门应当在接到报告后进行调查、核实，查明原因和责任。经确认死亡的，予以注销，并报上级行政主管部门备案。</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第十八条</w:t>
      </w:r>
      <w:r>
        <w:rPr>
          <w:rFonts w:hint="eastAsia" w:ascii="仿宋" w:hAnsi="仿宋" w:eastAsia="仿宋" w:cs="仿宋"/>
          <w:sz w:val="32"/>
          <w:szCs w:val="32"/>
        </w:rPr>
        <w:t>　禁止下列损害古树名木的行为：</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（一）刻划、订钉或缠绕绳线，攀树折枝、剥树皮、动土伤根。</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（二）借用树干作支撑物或者悬挂物体。</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（三）未经有关主管部门批准，采摘果实和种子。</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（四）在树冠边缘以外3米范围内，挖坑取土、淹渍或封死地面、动用明火、排放烟气、倾倒有害树木的污水、污物，铺管架线、修筑永久性或临时性建筑。</w:t>
      </w:r>
    </w:p>
    <w:p>
      <w:pPr>
        <w:pStyle w:val="3"/>
        <w:keepNext w:val="0"/>
        <w:keepLines w:val="0"/>
        <w:widowControl/>
        <w:suppressLineNumbers w:val="0"/>
        <w:spacing w:line="368" w:lineRule="atLeast"/>
        <w:jc w:val="left"/>
        <w:rPr>
          <w:rFonts w:hint="eastAsia" w:ascii="仿宋" w:hAnsi="仿宋" w:eastAsia="仿宋" w:cs="仿宋"/>
          <w:sz w:val="32"/>
          <w:szCs w:val="32"/>
          <w:lang w:val="en-US" w:eastAsia="zh-CN"/>
        </w:rPr>
      </w:pPr>
      <w:r>
        <w:rPr>
          <w:rFonts w:hint="eastAsia" w:ascii="仿宋" w:hAnsi="仿宋" w:eastAsia="仿宋" w:cs="仿宋"/>
          <w:sz w:val="32"/>
          <w:szCs w:val="32"/>
        </w:rPr>
        <w:t>　 （五）随意砍伐或移植</w:t>
      </w:r>
      <w:r>
        <w:rPr>
          <w:rFonts w:hint="eastAsia" w:ascii="仿宋" w:hAnsi="仿宋" w:eastAsia="仿宋" w:cs="仿宋"/>
          <w:sz w:val="32"/>
          <w:szCs w:val="32"/>
          <w:lang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368" w:lineRule="atLeast"/>
        <w:ind w:left="0" w:leftChars="0" w:right="0" w:rightChars="0" w:firstLine="480" w:firstLineChars="15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（六）非法买卖等流转行为。</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（七）其他损害行为。</w:t>
      </w:r>
    </w:p>
    <w:p>
      <w:pPr>
        <w:pStyle w:val="3"/>
        <w:keepNext w:val="0"/>
        <w:keepLines w:val="0"/>
        <w:widowControl/>
        <w:suppressLineNumbers w:val="0"/>
        <w:spacing w:line="368" w:lineRule="atLeast"/>
        <w:ind w:firstLine="643" w:firstLineChars="200"/>
        <w:jc w:val="left"/>
        <w:rPr>
          <w:rFonts w:hint="eastAsia" w:ascii="仿宋" w:hAnsi="仿宋" w:eastAsia="仿宋" w:cs="仿宋"/>
          <w:sz w:val="32"/>
          <w:szCs w:val="32"/>
        </w:rPr>
      </w:pPr>
      <w:r>
        <w:rPr>
          <w:rFonts w:hint="eastAsia" w:ascii="仿宋" w:hAnsi="仿宋" w:eastAsia="仿宋" w:cs="仿宋"/>
          <w:b/>
          <w:bCs/>
          <w:sz w:val="32"/>
          <w:szCs w:val="32"/>
        </w:rPr>
        <w:t>第十九条</w:t>
      </w:r>
      <w:r>
        <w:rPr>
          <w:rFonts w:hint="eastAsia" w:ascii="仿宋" w:hAnsi="仿宋" w:eastAsia="仿宋" w:cs="仿宋"/>
          <w:sz w:val="32"/>
          <w:szCs w:val="32"/>
        </w:rPr>
        <w:t>　禁止移植古树名木，国家、省重点工程项目除外。</w:t>
      </w:r>
    </w:p>
    <w:p>
      <w:pPr>
        <w:pStyle w:val="3"/>
        <w:keepNext w:val="0"/>
        <w:keepLines w:val="0"/>
        <w:widowControl/>
        <w:suppressLineNumbers w:val="0"/>
        <w:spacing w:line="368" w:lineRule="atLeast"/>
        <w:ind w:firstLine="640" w:firstLineChars="200"/>
        <w:jc w:val="left"/>
        <w:rPr>
          <w:rFonts w:hint="eastAsia" w:ascii="仿宋_GB2312" w:hAnsi="仿宋_GB2312" w:cs="仿宋_GB2312"/>
          <w:sz w:val="32"/>
          <w:szCs w:val="32"/>
          <w:lang w:val="en-US" w:eastAsia="zh-CN"/>
        </w:rPr>
      </w:pPr>
      <w:r>
        <w:rPr>
          <w:rFonts w:hint="eastAsia" w:ascii="仿宋" w:hAnsi="仿宋" w:eastAsia="仿宋" w:cs="仿宋"/>
          <w:sz w:val="32"/>
          <w:szCs w:val="32"/>
        </w:rPr>
        <w:t>因国家、省重点工程项目确需移植的，必须经当地古树名木行政主管部门初审同意，报市古树名木行政主管部门审核后，再报市人民政府批准。</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第二十条</w:t>
      </w:r>
      <w:r>
        <w:rPr>
          <w:rFonts w:hint="eastAsia" w:ascii="仿宋" w:hAnsi="仿宋" w:eastAsia="仿宋" w:cs="仿宋"/>
          <w:sz w:val="32"/>
          <w:szCs w:val="32"/>
        </w:rPr>
        <w:t>　对影响和危害古树名木生长的生产、生活设施，由古树名木行政主管部门责令有关单位或个人限期采取措施，消除影响和危害。</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第二十一条</w:t>
      </w:r>
      <w:r>
        <w:rPr>
          <w:rFonts w:hint="eastAsia" w:ascii="仿宋" w:hAnsi="仿宋" w:eastAsia="仿宋" w:cs="仿宋"/>
          <w:sz w:val="32"/>
          <w:szCs w:val="32"/>
        </w:rPr>
        <w:t>　编制城乡建设规划时，应当在古树群周围划出一定的建设控制地带，保护古树群的生长环境和风貌。</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第二十二条</w:t>
      </w:r>
      <w:r>
        <w:rPr>
          <w:rFonts w:hint="eastAsia" w:ascii="仿宋" w:hAnsi="仿宋" w:eastAsia="仿宋" w:cs="仿宋"/>
          <w:sz w:val="32"/>
          <w:szCs w:val="32"/>
        </w:rPr>
        <w:t>　城乡建设规划或工程建设，涉及古树名木保护管理的，城乡规划部门或建设单位应当征求同级古树名木行政主管部门的意见。需采取避让保护措施的，应会同古树名木行政管理部门共同实施，费用由建设单位承担。</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　第二十三条</w:t>
      </w:r>
      <w:r>
        <w:rPr>
          <w:rFonts w:hint="eastAsia" w:ascii="仿宋" w:hAnsi="仿宋" w:eastAsia="仿宋" w:cs="仿宋"/>
          <w:sz w:val="32"/>
          <w:szCs w:val="32"/>
        </w:rPr>
        <w:t>　古树名木保护措施涉及其他文物保护单位的，由古树名木行政主管部门和文物行政主管部门共同制订保护措施。</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第二十四条</w:t>
      </w:r>
      <w:r>
        <w:rPr>
          <w:rFonts w:hint="eastAsia" w:ascii="仿宋" w:hAnsi="仿宋" w:eastAsia="仿宋" w:cs="仿宋"/>
          <w:sz w:val="32"/>
          <w:szCs w:val="32"/>
        </w:rPr>
        <w:t>　古树名木被批准为国家重点保护野生植物或地方重点野生植物的，其保护管理应同时遵守有关法律法规规定。</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第二十五条</w:t>
      </w:r>
      <w:r>
        <w:rPr>
          <w:rFonts w:hint="eastAsia" w:ascii="仿宋" w:hAnsi="仿宋" w:eastAsia="仿宋" w:cs="仿宋"/>
          <w:sz w:val="32"/>
          <w:szCs w:val="32"/>
        </w:rPr>
        <w:t>　违反本办法规定，由古树名木行政主管等有关部门按照《中华人民共和国森林法》、《城市古树名木保护管理办法》、《中华人民共和国野生植物保护条例》和《广东省城市绿化条例》等法律法规规定进行处理。</w:t>
      </w:r>
    </w:p>
    <w:p>
      <w:pPr>
        <w:pStyle w:val="3"/>
        <w:keepNext w:val="0"/>
        <w:keepLines w:val="0"/>
        <w:widowControl/>
        <w:suppressLineNumbers w:val="0"/>
        <w:spacing w:line="368" w:lineRule="atLeast"/>
        <w:jc w:val="left"/>
        <w:rPr>
          <w:rFonts w:hint="eastAsia" w:ascii="仿宋" w:hAnsi="仿宋" w:eastAsia="仿宋" w:cs="仿宋"/>
          <w:sz w:val="32"/>
          <w:szCs w:val="32"/>
        </w:rPr>
      </w:pPr>
      <w:r>
        <w:rPr>
          <w:sz w:val="16"/>
          <w:szCs w:val="16"/>
        </w:rPr>
        <w:t>　</w:t>
      </w: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rPr>
        <w:t>第二十六条　</w:t>
      </w:r>
      <w:r>
        <w:rPr>
          <w:rFonts w:hint="eastAsia" w:ascii="仿宋" w:hAnsi="仿宋" w:eastAsia="仿宋" w:cs="仿宋"/>
          <w:sz w:val="32"/>
          <w:szCs w:val="32"/>
        </w:rPr>
        <w:t>古树名木行政主管部门工作人员在古树名木保护管理工作中，滥用职权、玩忽职守、徇私舞弊的，由其所在单位或上级主管机关给予行政处分；情节严重构成犯罪的，依法追究刑事责任。</w:t>
      </w:r>
    </w:p>
    <w:p>
      <w:pPr>
        <w:pStyle w:val="3"/>
        <w:keepNext w:val="0"/>
        <w:keepLines w:val="0"/>
        <w:widowControl/>
        <w:suppressLineNumbers w:val="0"/>
        <w:spacing w:line="368" w:lineRule="atLeast"/>
        <w:jc w:val="left"/>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b/>
          <w:bCs/>
          <w:sz w:val="32"/>
          <w:szCs w:val="32"/>
        </w:rPr>
        <w:t>第二十七条</w:t>
      </w:r>
      <w:r>
        <w:rPr>
          <w:rFonts w:hint="eastAsia" w:ascii="仿宋" w:hAnsi="仿宋" w:eastAsia="仿宋" w:cs="仿宋"/>
          <w:sz w:val="32"/>
          <w:szCs w:val="32"/>
        </w:rPr>
        <w:t>　本办法自印发之日起施行，有效期5年。</w:t>
      </w:r>
    </w:p>
    <w:p>
      <w:pPr>
        <w:pStyle w:val="3"/>
        <w:keepNext w:val="0"/>
        <w:keepLines w:val="0"/>
        <w:widowControl/>
        <w:suppressLineNumbers w:val="0"/>
        <w:spacing w:line="368" w:lineRule="atLeast"/>
        <w:jc w:val="left"/>
        <w:rPr>
          <w:rFonts w:hint="eastAsia" w:ascii="仿宋" w:hAnsi="仿宋" w:eastAsia="仿宋" w:cs="仿宋"/>
          <w:sz w:val="32"/>
          <w:szCs w:val="32"/>
          <w:lang w:val="en-US" w:eastAsia="zh-CN"/>
        </w:rPr>
      </w:pPr>
    </w:p>
    <w:p/>
    <w:sectPr>
      <w:footerReference r:id="rId3" w:type="default"/>
      <w:pgSz w:w="11906" w:h="16838"/>
      <w:pgMar w:top="2098" w:right="1474" w:bottom="1984" w:left="1587"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libri Light">
    <w:altName w:val="Calibri"/>
    <w:panose1 w:val="020F0302020204030204"/>
    <w:charset w:val="00"/>
    <w:family w:val="auto"/>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文鼎粗鋼筆行楷">
    <w:altName w:val="宋体"/>
    <w:panose1 w:val="02010609010101010101"/>
    <w:charset w:val="88"/>
    <w:family w:val="auto"/>
    <w:pitch w:val="default"/>
    <w:sig w:usb0="00000000" w:usb1="00000000" w:usb2="00000000" w:usb3="00000000" w:csb0="00100000" w:csb1="00000000"/>
  </w:font>
  <w:font w:name="方正小标宋_GBK">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大黑简体">
    <w:altName w:val="黑体"/>
    <w:panose1 w:val="03000509000000000000"/>
    <w:charset w:val="86"/>
    <w:family w:val="auto"/>
    <w:pitch w:val="default"/>
    <w:sig w:usb0="00000000" w:usb1="0000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BatangChe">
    <w:panose1 w:val="02030609000101010101"/>
    <w:charset w:val="81"/>
    <w:family w:val="auto"/>
    <w:pitch w:val="default"/>
    <w:sig w:usb0="B00002AF" w:usb1="69D77CFB" w:usb2="00000030" w:usb3="00000000" w:csb0="4008009F" w:csb1="DFD70000"/>
  </w:font>
  <w:font w:name="Batang">
    <w:panose1 w:val="02030600000101010101"/>
    <w:charset w:val="81"/>
    <w:family w:val="auto"/>
    <w:pitch w:val="default"/>
    <w:sig w:usb0="B00002AF" w:usb1="69D77CFB" w:usb2="00000030" w:usb3="00000000" w:csb0="4008009F" w:csb1="DFD70000"/>
  </w:font>
  <w:font w:name="草檀斋毛泽东字体">
    <w:altName w:val="宋体"/>
    <w:panose1 w:val="02010601030101010101"/>
    <w:charset w:val="86"/>
    <w:family w:val="auto"/>
    <w:pitch w:val="default"/>
    <w:sig w:usb0="00000000" w:usb1="00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DFKai-SB">
    <w:panose1 w:val="03000509000000000000"/>
    <w:charset w:val="88"/>
    <w:family w:val="auto"/>
    <w:pitch w:val="default"/>
    <w:sig w:usb0="00000003" w:usb1="082E0000" w:usb2="00000016" w:usb3="00000000" w:csb0="00100001" w:csb1="00000000"/>
  </w:font>
  <w:font w:name="SimSun-Identity-H">
    <w:altName w:val="宋体"/>
    <w:panose1 w:val="00000000000000000000"/>
    <w:charset w:val="86"/>
    <w:family w:val="auto"/>
    <w:pitch w:val="default"/>
    <w:sig w:usb0="00000000" w:usb1="00000000" w:usb2="00000000" w:usb3="00000000" w:csb0="00040000" w:csb1="00000000"/>
  </w:font>
  <w:font w:name="FangSong-Identity-H">
    <w:altName w:val="宋体"/>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- 1 -</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915DF"/>
    <w:rsid w:val="03387FA3"/>
    <w:rsid w:val="043A0330"/>
    <w:rsid w:val="064A7882"/>
    <w:rsid w:val="08D603A4"/>
    <w:rsid w:val="0945785E"/>
    <w:rsid w:val="098C4B87"/>
    <w:rsid w:val="0BEC7D76"/>
    <w:rsid w:val="11866444"/>
    <w:rsid w:val="182C1DC1"/>
    <w:rsid w:val="1AFB518D"/>
    <w:rsid w:val="1D6807B7"/>
    <w:rsid w:val="1F1F1518"/>
    <w:rsid w:val="21D306FD"/>
    <w:rsid w:val="26B5482C"/>
    <w:rsid w:val="2A727F16"/>
    <w:rsid w:val="2B9A3695"/>
    <w:rsid w:val="2BFA7851"/>
    <w:rsid w:val="30A322F3"/>
    <w:rsid w:val="31850DF1"/>
    <w:rsid w:val="333915DF"/>
    <w:rsid w:val="38077E93"/>
    <w:rsid w:val="403A5FB2"/>
    <w:rsid w:val="41BC6D7C"/>
    <w:rsid w:val="43547619"/>
    <w:rsid w:val="44A61B23"/>
    <w:rsid w:val="4BD85369"/>
    <w:rsid w:val="511A026B"/>
    <w:rsid w:val="51635DF6"/>
    <w:rsid w:val="52C373B6"/>
    <w:rsid w:val="53A0055D"/>
    <w:rsid w:val="55E05CF9"/>
    <w:rsid w:val="5D5F293F"/>
    <w:rsid w:val="621678E6"/>
    <w:rsid w:val="64FE636C"/>
    <w:rsid w:val="6529361A"/>
    <w:rsid w:val="657475C5"/>
    <w:rsid w:val="65FC58EF"/>
    <w:rsid w:val="69FB0BC9"/>
    <w:rsid w:val="6B5744AA"/>
    <w:rsid w:val="6DC62233"/>
    <w:rsid w:val="6F535B54"/>
    <w:rsid w:val="711F6413"/>
    <w:rsid w:val="72C471BB"/>
    <w:rsid w:val="747B66BB"/>
    <w:rsid w:val="76E06AF9"/>
    <w:rsid w:val="7DC77358"/>
    <w:rsid w:val="7E1C63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Ascii" w:hAnsiTheme="minorAscii" w:cstheme="minorBidi"/>
      <w:kern w:val="2"/>
      <w:sz w:val="32"/>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2018-01-25T08:53:00Z</dcterms:created>
  <dc:creator>Administrator</dc:creator>
  <cp:lastModifiedBy>pc</cp:lastModifiedBy>
  <cp:lastPrinted>2018-01-30T02:14:00Z</cp:lastPrinted>
  <dcterms:modified xsi:type="dcterms:W3CDTF">2018-01-31T08:43:19Z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